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661B5">
      <w:pPr>
        <w:spacing w:line="360" w:lineRule="auto"/>
        <w:rPr>
          <w:rFonts w:ascii="Times New Roman" w:hAnsi="Times New Roman" w:cs="Times New Roman"/>
          <w:sz w:val="24"/>
          <w:szCs w:val="24"/>
          <w:lang w:val="en-US"/>
        </w:rPr>
      </w:pPr>
    </w:p>
    <w:p w14:paraId="65C56DB5">
      <w:pPr>
        <w:spacing w:after="0" w:line="240" w:lineRule="auto"/>
        <w:ind w:left="720"/>
        <w:jc w:val="center"/>
        <w:rPr>
          <w:rFonts w:ascii="Times New Roman" w:hAnsi="Times New Roman" w:eastAsia="Times New Roman" w:cs="Times New Roman"/>
          <w:sz w:val="28"/>
          <w:szCs w:val="28"/>
          <w:lang w:val="en-US"/>
        </w:rPr>
      </w:pPr>
      <w:r>
        <w:rPr>
          <w:rFonts w:ascii="Times New Roman" w:hAnsi="Times New Roman" w:eastAsia="Times New Roman" w:cs="Times New Roman"/>
          <w:b/>
          <w:bCs/>
          <w:sz w:val="28"/>
          <w:szCs w:val="28"/>
          <w:lang w:val="en-US"/>
        </w:rPr>
        <w:t>Green Technologies and Intellectual Property Rights: Catalysts for Sustainable Development</w:t>
      </w:r>
    </w:p>
    <w:p w14:paraId="731ABFE1">
      <w:pPr>
        <w:spacing w:line="360" w:lineRule="auto"/>
        <w:jc w:val="center"/>
        <w:rPr>
          <w:rFonts w:ascii="Times New Roman" w:hAnsi="Times New Roman" w:cs="Times New Roman"/>
          <w:sz w:val="28"/>
          <w:szCs w:val="28"/>
          <w:lang w:val="en-US"/>
        </w:rPr>
      </w:pPr>
    </w:p>
    <w:p w14:paraId="3ECED342">
      <w:pPr>
        <w:spacing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                                                                                                                                        </w:t>
      </w:r>
      <w:r>
        <w:rPr>
          <w:rFonts w:hint="default" w:ascii="Times New Roman" w:hAnsi="Times New Roman" w:cs="Times New Roman"/>
          <w:b/>
          <w:sz w:val="24"/>
          <w:szCs w:val="24"/>
          <w:lang w:val="en-US"/>
        </w:rPr>
        <w:t xml:space="preserve">Vidya Srinivasan </w:t>
      </w:r>
      <w:r>
        <w:rPr>
          <w:rFonts w:ascii="Times New Roman" w:hAnsi="Times New Roman" w:cs="Times New Roman"/>
          <w:b/>
          <w:sz w:val="24"/>
          <w:szCs w:val="24"/>
          <w:lang w:val="en-US"/>
        </w:rPr>
        <w:t xml:space="preserve"> </w:t>
      </w:r>
      <w:r>
        <w:rPr>
          <w:rStyle w:val="5"/>
          <w:rFonts w:ascii="Times New Roman" w:hAnsi="Times New Roman" w:cs="Times New Roman"/>
          <w:b/>
          <w:sz w:val="24"/>
          <w:szCs w:val="24"/>
          <w:lang w:val="en-US"/>
        </w:rPr>
        <w:footnoteReference w:id="0"/>
      </w:r>
    </w:p>
    <w:p w14:paraId="07DD8EB2">
      <w:pPr>
        <w:spacing w:line="360" w:lineRule="auto"/>
        <w:rPr>
          <w:rFonts w:ascii="Times New Roman" w:hAnsi="Times New Roman" w:cs="Times New Roman"/>
          <w:b/>
          <w:sz w:val="24"/>
          <w:szCs w:val="24"/>
          <w:lang w:val="en-US"/>
        </w:rPr>
      </w:pPr>
    </w:p>
    <w:p w14:paraId="12984E66">
      <w:pPr>
        <w:spacing w:line="360" w:lineRule="auto"/>
        <w:rPr>
          <w:rFonts w:ascii="Times New Roman" w:hAnsi="Times New Roman" w:cs="Times New Roman"/>
          <w:b/>
          <w:sz w:val="28"/>
          <w:szCs w:val="28"/>
        </w:rPr>
      </w:pPr>
      <w:r>
        <w:rPr>
          <w:rFonts w:ascii="Times New Roman" w:hAnsi="Times New Roman" w:cs="Times New Roman"/>
          <w:b/>
          <w:sz w:val="28"/>
          <w:szCs w:val="28"/>
        </w:rPr>
        <w:t>Abstract</w:t>
      </w:r>
    </w:p>
    <w:p w14:paraId="2FBE9930">
      <w:pPr>
        <w:pStyle w:val="7"/>
        <w:spacing w:line="360" w:lineRule="auto"/>
      </w:pPr>
      <w:r>
        <w:t>The intersection of green technologies and intellectual property rights (IPR) plays a pivotal role in driving sustainable innovation while balancing access and exclusivity. Green technologies—ranging from renewable energy systems to eco-friendly manufacturing processes—are essential for mitigating climate change and promoting environmental stewardship. However, the protection of these innovations through IPR, particularly patents, raises complex questions about accessibility, affordability, and global equity. While IPR incentivizes research and development by granting inventors exclusive rights, it can also hinder the widespread adoption of green solutions, especially in developing countries. This abstract explores the dual role of IPR as both a catalyst and a barrier in the dissemination of green technologies. It highlights the need for policy frameworks that encourage innovation while ensuring fair access, such as patent pools, compulsory licensing, and open-source models. Ultimately, a balanced approach to IPR can accelerate the global transition to a low-carbon economy.</w:t>
      </w:r>
    </w:p>
    <w:p w14:paraId="65A2E0E9">
      <w:pPr>
        <w:spacing w:before="100" w:beforeAutospacing="1" w:after="100" w:afterAutospacing="1" w:line="240" w:lineRule="auto"/>
        <w:rPr>
          <w:rFonts w:ascii="Times New Roman" w:hAnsi="Times New Roman" w:eastAsia="Times New Roman" w:cs="Times New Roman"/>
          <w:b/>
          <w:sz w:val="28"/>
          <w:szCs w:val="28"/>
          <w:lang w:val="en-US"/>
        </w:rPr>
      </w:pPr>
      <w:r>
        <w:rPr>
          <w:rFonts w:ascii="Times New Roman" w:hAnsi="Times New Roman" w:eastAsia="Times New Roman" w:cs="Times New Roman"/>
          <w:b/>
          <w:sz w:val="28"/>
          <w:szCs w:val="28"/>
          <w:lang w:val="en-US"/>
        </w:rPr>
        <w:t>Keywords:</w:t>
      </w:r>
    </w:p>
    <w:p w14:paraId="40129613">
      <w:pPr>
        <w:spacing w:before="100" w:beforeAutospacing="1" w:after="100" w:afterAutospacing="1"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Green Technologies</w:t>
      </w:r>
    </w:p>
    <w:p w14:paraId="30DF8B24">
      <w:pPr>
        <w:spacing w:before="100" w:beforeAutospacing="1" w:after="100" w:afterAutospacing="1"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Intellectual Property Rights (IPR)</w:t>
      </w:r>
    </w:p>
    <w:p w14:paraId="0BFB9889">
      <w:pPr>
        <w:spacing w:before="100" w:beforeAutospacing="1" w:after="100" w:afterAutospacing="1"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Sustainable Innovation</w:t>
      </w:r>
    </w:p>
    <w:p w14:paraId="5DE531AA">
      <w:pPr>
        <w:spacing w:before="100" w:beforeAutospacing="1" w:after="100" w:afterAutospacing="1"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Patent Pools</w:t>
      </w:r>
    </w:p>
    <w:p w14:paraId="1A637086">
      <w:pPr>
        <w:spacing w:before="100" w:beforeAutospacing="1" w:after="100" w:afterAutospacing="1" w:line="24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Climate Change Mitigation</w:t>
      </w:r>
    </w:p>
    <w:p w14:paraId="58E1A4DB">
      <w:pPr>
        <w:spacing w:before="100" w:beforeAutospacing="1" w:after="100" w:afterAutospacing="1" w:line="240" w:lineRule="auto"/>
        <w:rPr>
          <w:rFonts w:ascii="Times New Roman" w:hAnsi="Times New Roman" w:eastAsia="Times New Roman" w:cs="Times New Roman"/>
          <w:sz w:val="24"/>
          <w:szCs w:val="24"/>
          <w:lang w:val="en-US"/>
        </w:rPr>
      </w:pPr>
    </w:p>
    <w:p w14:paraId="7150256C">
      <w:pPr>
        <w:spacing w:before="100" w:beforeAutospacing="1" w:after="100" w:afterAutospacing="1" w:line="240" w:lineRule="auto"/>
        <w:rPr>
          <w:rFonts w:ascii="Times New Roman" w:hAnsi="Times New Roman" w:eastAsia="Times New Roman" w:cs="Times New Roman"/>
          <w:sz w:val="24"/>
          <w:szCs w:val="24"/>
          <w:lang w:val="en-US"/>
        </w:rPr>
      </w:pPr>
    </w:p>
    <w:p w14:paraId="75F2C372">
      <w:pPr>
        <w:spacing w:before="100" w:beforeAutospacing="1" w:after="100" w:afterAutospacing="1" w:line="240" w:lineRule="auto"/>
        <w:rPr>
          <w:rFonts w:ascii="Times New Roman" w:hAnsi="Times New Roman" w:eastAsia="Times New Roman" w:cs="Times New Roman"/>
          <w:sz w:val="24"/>
          <w:szCs w:val="24"/>
          <w:lang w:val="en-US"/>
        </w:rPr>
      </w:pPr>
    </w:p>
    <w:p w14:paraId="27CCE0A6">
      <w:pPr>
        <w:spacing w:before="100" w:beforeAutospacing="1" w:after="100" w:afterAutospacing="1" w:line="240" w:lineRule="auto"/>
        <w:rPr>
          <w:rFonts w:ascii="Times New Roman" w:hAnsi="Times New Roman" w:eastAsia="Times New Roman" w:cs="Times New Roman"/>
          <w:sz w:val="24"/>
          <w:szCs w:val="24"/>
          <w:lang w:val="en-US"/>
        </w:rPr>
      </w:pPr>
    </w:p>
    <w:p w14:paraId="0546B714">
      <w:pPr>
        <w:spacing w:before="100" w:beforeAutospacing="1" w:after="100" w:afterAutospacing="1" w:line="240" w:lineRule="auto"/>
        <w:rPr>
          <w:rFonts w:ascii="Times New Roman" w:hAnsi="Times New Roman" w:eastAsia="Times New Roman" w:cs="Times New Roman"/>
          <w:sz w:val="24"/>
          <w:szCs w:val="24"/>
          <w:lang w:val="en-US"/>
        </w:rPr>
      </w:pPr>
    </w:p>
    <w:p w14:paraId="162B60F3">
      <w:pPr>
        <w:spacing w:before="100" w:beforeAutospacing="1" w:after="100" w:afterAutospacing="1" w:line="240" w:lineRule="auto"/>
        <w:rPr>
          <w:rFonts w:ascii="Times New Roman" w:hAnsi="Times New Roman" w:eastAsia="Times New Roman" w:cs="Times New Roman"/>
          <w:sz w:val="24"/>
          <w:szCs w:val="24"/>
          <w:lang w:val="en-US"/>
        </w:rPr>
      </w:pPr>
    </w:p>
    <w:p w14:paraId="22C82F60">
      <w:pPr>
        <w:spacing w:before="100" w:beforeAutospacing="1" w:after="100" w:afterAutospacing="1" w:line="240" w:lineRule="auto"/>
        <w:rPr>
          <w:rFonts w:ascii="Times New Roman" w:hAnsi="Times New Roman" w:eastAsia="Times New Roman" w:cs="Times New Roman"/>
          <w:sz w:val="24"/>
          <w:szCs w:val="24"/>
          <w:lang w:val="en-US"/>
        </w:rPr>
      </w:pPr>
    </w:p>
    <w:p w14:paraId="6CD69FFE">
      <w:pPr>
        <w:spacing w:before="100" w:beforeAutospacing="1" w:after="100" w:afterAutospacing="1" w:line="240" w:lineRule="auto"/>
        <w:rPr>
          <w:rFonts w:ascii="Times New Roman" w:hAnsi="Times New Roman" w:eastAsia="Times New Roman" w:cs="Times New Roman"/>
          <w:sz w:val="24"/>
          <w:szCs w:val="24"/>
          <w:lang w:val="en-US"/>
        </w:rPr>
      </w:pPr>
    </w:p>
    <w:p w14:paraId="008DA0AA">
      <w:pPr>
        <w:pStyle w:val="7"/>
        <w:rPr>
          <w:sz w:val="28"/>
          <w:szCs w:val="28"/>
        </w:rPr>
      </w:pPr>
      <w:r>
        <w:rPr>
          <w:b/>
          <w:bCs/>
          <w:sz w:val="28"/>
          <w:szCs w:val="28"/>
        </w:rPr>
        <w:t>Introduction: The Climate Imperative and Technological Response</w:t>
      </w:r>
      <w:r>
        <w:rPr>
          <w:rStyle w:val="5"/>
          <w:sz w:val="28"/>
          <w:szCs w:val="28"/>
        </w:rPr>
        <w:footnoteReference w:id="1"/>
      </w:r>
    </w:p>
    <w:p w14:paraId="792CA936">
      <w:pPr>
        <w:pStyle w:val="7"/>
        <w:spacing w:line="360" w:lineRule="auto"/>
      </w:pPr>
      <w:r>
        <w:t xml:space="preserve">The intensifying climate crisis—marked by rising global temperatures, extreme weather events, biodiversity loss, and resource depletion—has galvanized international efforts to transition toward a more sustainable and resilient future. At the heart of this transformation lies the development and deployment of </w:t>
      </w:r>
      <w:r>
        <w:rPr>
          <w:rStyle w:val="8"/>
        </w:rPr>
        <w:t>green technologies</w:t>
      </w:r>
      <w:r>
        <w:t>, which are not merely tools of environmental stewardship but strategic instruments for economic renewal, energy security, and social equity.</w:t>
      </w:r>
    </w:p>
    <w:p w14:paraId="22C2FCE3">
      <w:pPr>
        <w:pStyle w:val="7"/>
        <w:spacing w:line="360" w:lineRule="auto"/>
      </w:pPr>
      <w:r>
        <w:t xml:space="preserve">Green technologies encompass a broad spectrum of innovations designed to reduce environmental impact and foster sustainability. These include </w:t>
      </w:r>
      <w:r>
        <w:rPr>
          <w:rStyle w:val="8"/>
          <w:b w:val="0"/>
        </w:rPr>
        <w:t>renewable energy systems</w:t>
      </w:r>
      <w:r>
        <w:t xml:space="preserve"> like solar and wind power,</w:t>
      </w:r>
      <w:r>
        <w:rPr>
          <w:b/>
        </w:rPr>
        <w:t xml:space="preserve"> </w:t>
      </w:r>
      <w:r>
        <w:rPr>
          <w:rStyle w:val="8"/>
          <w:b w:val="0"/>
        </w:rPr>
        <w:t>carbon capture and storage (CCS)</w:t>
      </w:r>
      <w:r>
        <w:rPr>
          <w:b/>
        </w:rPr>
        <w:t xml:space="preserve"> </w:t>
      </w:r>
      <w:r>
        <w:t>solutions,</w:t>
      </w:r>
      <w:r>
        <w:rPr>
          <w:b/>
        </w:rPr>
        <w:t xml:space="preserve"> </w:t>
      </w:r>
      <w:r>
        <w:rPr>
          <w:rStyle w:val="8"/>
          <w:b w:val="0"/>
        </w:rPr>
        <w:t>sustainable agricultural practices</w:t>
      </w:r>
      <w:r>
        <w:rPr>
          <w:b/>
        </w:rPr>
        <w:t xml:space="preserve">, </w:t>
      </w:r>
      <w:r>
        <w:rPr>
          <w:rStyle w:val="8"/>
          <w:b w:val="0"/>
        </w:rPr>
        <w:t>clean transportation</w:t>
      </w:r>
      <w:r>
        <w:rPr>
          <w:b/>
        </w:rPr>
        <w:t xml:space="preserve">, </w:t>
      </w:r>
      <w:r>
        <w:t xml:space="preserve">and </w:t>
      </w:r>
      <w:r>
        <w:rPr>
          <w:rStyle w:val="8"/>
          <w:b w:val="0"/>
        </w:rPr>
        <w:t>eco-friendly manufacturing processes</w:t>
      </w:r>
      <w:r>
        <w:rPr>
          <w:b/>
        </w:rPr>
        <w:t>.</w:t>
      </w:r>
      <w:r>
        <w:t xml:space="preserve"> Their widespread adoption is essential for achieving global climate goals, such as net-zero emissions and the targets set by the Paris Agreement.</w:t>
      </w:r>
    </w:p>
    <w:p w14:paraId="4C5AD438">
      <w:pPr>
        <w:pStyle w:val="7"/>
        <w:spacing w:line="360" w:lineRule="auto"/>
      </w:pPr>
      <w:r>
        <w:t xml:space="preserve">However, the journey from innovation to implementation is shaped by a complex web of legal, economic, and political factors—chief among them being </w:t>
      </w:r>
      <w:r>
        <w:rPr>
          <w:rStyle w:val="8"/>
          <w:b w:val="0"/>
        </w:rPr>
        <w:t>intellectual property rights (IPR)</w:t>
      </w:r>
      <w:r>
        <w:rPr>
          <w:b/>
        </w:rPr>
        <w:t>.</w:t>
      </w:r>
      <w:r>
        <w:t xml:space="preserve"> IPR frameworks, which govern the ownership and use of inventions, play a pivotal role in determining who can access, develop, and benefit from green technologies. They act as both </w:t>
      </w:r>
      <w:r>
        <w:rPr>
          <w:rStyle w:val="8"/>
          <w:b w:val="0"/>
        </w:rPr>
        <w:t>a catalyst</w:t>
      </w:r>
      <w:r>
        <w:rPr>
          <w:b/>
        </w:rPr>
        <w:t>,</w:t>
      </w:r>
      <w:r>
        <w:t xml:space="preserve"> by incentivizing innovation and investment, and </w:t>
      </w:r>
      <w:r>
        <w:rPr>
          <w:rStyle w:val="8"/>
          <w:b w:val="0"/>
        </w:rPr>
        <w:t>a constraint</w:t>
      </w:r>
      <w:r>
        <w:rPr>
          <w:b/>
        </w:rPr>
        <w:t>,</w:t>
      </w:r>
      <w:r>
        <w:t xml:space="preserve"> by potentially limiting the diffusion of critical technologies, especially in low-income and developing regions.</w:t>
      </w:r>
    </w:p>
    <w:p w14:paraId="31B4C7EF">
      <w:pPr>
        <w:pStyle w:val="7"/>
        <w:spacing w:line="360" w:lineRule="auto"/>
      </w:pPr>
      <w:r>
        <w:t>As the urgency of climate action grows, so too does the need to critically examine how IPR can be harnessed—or reimagined—to accelerate the global transition to sustainability. This intersection of environmental necessity and legal governance invites a deeper exploration of how innovation, access, and equity can be balanced in the pursuit of a greener future.</w:t>
      </w:r>
    </w:p>
    <w:p w14:paraId="6578FA3C">
      <w:pPr>
        <w:pStyle w:val="7"/>
        <w:rPr>
          <w:sz w:val="28"/>
          <w:szCs w:val="28"/>
        </w:rPr>
      </w:pPr>
      <w:r>
        <w:rPr>
          <w:b/>
          <w:bCs/>
          <w:sz w:val="28"/>
          <w:szCs w:val="28"/>
        </w:rPr>
        <w:t>Intellectual Property Rights: Incentivizing Green Innovation</w:t>
      </w:r>
      <w:r>
        <w:rPr>
          <w:rStyle w:val="5"/>
          <w:sz w:val="28"/>
          <w:szCs w:val="28"/>
        </w:rPr>
        <w:footnoteReference w:id="2"/>
      </w:r>
    </w:p>
    <w:p w14:paraId="56917B4F">
      <w:pPr>
        <w:pStyle w:val="7"/>
        <w:spacing w:line="360" w:lineRule="auto"/>
      </w:pPr>
      <w:r>
        <w:t xml:space="preserve">Intellectual property (IP), especially in the form of </w:t>
      </w:r>
      <w:r>
        <w:rPr>
          <w:rStyle w:val="8"/>
        </w:rPr>
        <w:t>patents</w:t>
      </w:r>
      <w:r>
        <w:t xml:space="preserve">, is a foundational element in the innovation ecosystem. It provides a structured legal framework that not only protects the rights of inventors but also stimulates the development and commercialization of cutting-edge technologies. In the context of </w:t>
      </w:r>
      <w:r>
        <w:rPr>
          <w:rStyle w:val="8"/>
          <w:b w:val="0"/>
        </w:rPr>
        <w:t>green innovation</w:t>
      </w:r>
      <w:r>
        <w:t>, where solutions often require substantial upfront investment and face uncertain market adoption, IP serves as a critical enabler.</w:t>
      </w:r>
    </w:p>
    <w:p w14:paraId="681C18DC">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 xml:space="preserve">Green technologies often involve </w:t>
      </w:r>
      <w:r>
        <w:rPr>
          <w:rFonts w:ascii="Times New Roman" w:hAnsi="Times New Roman" w:eastAsia="Times New Roman" w:cs="Times New Roman"/>
          <w:bCs/>
          <w:sz w:val="24"/>
          <w:szCs w:val="24"/>
          <w:lang w:val="en-US"/>
        </w:rPr>
        <w:t>high-risk, high-cost development cycles</w:t>
      </w:r>
      <w:r>
        <w:rPr>
          <w:rFonts w:ascii="Times New Roman" w:hAnsi="Times New Roman" w:eastAsia="Times New Roman" w:cs="Times New Roman"/>
          <w:sz w:val="24"/>
          <w:szCs w:val="24"/>
          <w:lang w:val="en-US"/>
        </w:rPr>
        <w:t>, making IP protections even more vital:</w:t>
      </w:r>
    </w:p>
    <w:p w14:paraId="12279747">
      <w:pPr>
        <w:numPr>
          <w:ilvl w:val="0"/>
          <w:numId w:val="1"/>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Solar Energy</w:t>
      </w:r>
      <w:r>
        <w:rPr>
          <w:rFonts w:ascii="Times New Roman" w:hAnsi="Times New Roman" w:eastAsia="Times New Roman" w:cs="Times New Roman"/>
          <w:sz w:val="24"/>
          <w:szCs w:val="24"/>
          <w:lang w:val="en-US"/>
        </w:rPr>
        <w:t>: Patents cover innovations in photovoltaic materials, panel design, and energy conversion efficiency. Companies rely on IP to safeguard proprietary breakthroughs and negotiate licensing deals.</w:t>
      </w:r>
    </w:p>
    <w:p w14:paraId="17C51EC5">
      <w:pPr>
        <w:numPr>
          <w:ilvl w:val="0"/>
          <w:numId w:val="1"/>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Electric Vehicles (EVs)</w:t>
      </w:r>
      <w:r>
        <w:rPr>
          <w:rFonts w:ascii="Times New Roman" w:hAnsi="Times New Roman" w:eastAsia="Times New Roman" w:cs="Times New Roman"/>
          <w:sz w:val="24"/>
          <w:szCs w:val="24"/>
          <w:lang w:val="en-US"/>
        </w:rPr>
        <w:t>: From battery architecture to regenerative braking systems, patents protect core technologies that differentiate products in a competitive market. IP also facilitates cross-licensing among automakers and tech firms.</w:t>
      </w:r>
    </w:p>
    <w:p w14:paraId="4B4B5048">
      <w:pPr>
        <w:numPr>
          <w:ilvl w:val="0"/>
          <w:numId w:val="1"/>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Carbon-Neutral Manufacturing</w:t>
      </w:r>
      <w:r>
        <w:rPr>
          <w:rFonts w:ascii="Times New Roman" w:hAnsi="Times New Roman" w:eastAsia="Times New Roman" w:cs="Times New Roman"/>
          <w:sz w:val="24"/>
          <w:szCs w:val="24"/>
          <w:lang w:val="en-US"/>
        </w:rPr>
        <w:t>: Patents incentivize the creation of low-emission processes, sustainable materials, and waste-reduction techniques. IP rights ensure that firms investing in cleaner production methods can capitalize on their innovations.</w:t>
      </w:r>
    </w:p>
    <w:p w14:paraId="0FB608B4">
      <w:pPr>
        <w:pStyle w:val="7"/>
        <w:rPr>
          <w:sz w:val="32"/>
          <w:szCs w:val="32"/>
        </w:rPr>
      </w:pPr>
      <w:r>
        <w:rPr>
          <w:b/>
          <w:bCs/>
          <w:sz w:val="32"/>
          <w:szCs w:val="32"/>
        </w:rPr>
        <w:t>The Paradox of Protection: Barriers to Access and Equity</w:t>
      </w:r>
      <w:r>
        <w:rPr>
          <w:rStyle w:val="5"/>
          <w:sz w:val="32"/>
          <w:szCs w:val="32"/>
        </w:rPr>
        <w:footnoteReference w:id="3"/>
      </w:r>
    </w:p>
    <w:p w14:paraId="224F8FA1">
      <w:pPr>
        <w:pStyle w:val="7"/>
        <w:spacing w:line="360" w:lineRule="auto"/>
      </w:pPr>
      <w:r>
        <w:t xml:space="preserve">Intellectual property rights (IPR), particularly patents, are designed to incentivize innovation by granting inventors exclusive control over their creations. While this protection is essential for stimulating research and attracting investment, it also creates a </w:t>
      </w:r>
      <w:r>
        <w:rPr>
          <w:rStyle w:val="8"/>
          <w:b w:val="0"/>
        </w:rPr>
        <w:t>paradox</w:t>
      </w:r>
      <w:r>
        <w:t xml:space="preserve">: the very mechanisms that encourage technological advancement can </w:t>
      </w:r>
      <w:r>
        <w:rPr>
          <w:rStyle w:val="8"/>
          <w:b w:val="0"/>
        </w:rPr>
        <w:t>impede access</w:t>
      </w:r>
      <w:r>
        <w:t>, especially in regions that need these innovations the most.</w:t>
      </w:r>
    </w:p>
    <w:p w14:paraId="237203F3">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Structural Barriers to Access</w:t>
      </w:r>
    </w:p>
    <w:p w14:paraId="35E64F3E">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In the context of green technologies—where time-sensitive solutions are critical to addressing climate change—the restrictive aspects of IPR can become significant obstacles:</w:t>
      </w:r>
    </w:p>
    <w:p w14:paraId="3C5E3847">
      <w:pPr>
        <w:numPr>
          <w:ilvl w:val="0"/>
          <w:numId w:val="2"/>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High Licensing Fees</w:t>
      </w:r>
      <w:r>
        <w:rPr>
          <w:rFonts w:ascii="Times New Roman" w:hAnsi="Times New Roman" w:eastAsia="Times New Roman" w:cs="Times New Roman"/>
          <w:sz w:val="24"/>
          <w:szCs w:val="24"/>
          <w:lang w:val="en-US"/>
        </w:rPr>
        <w:t>: Many patented green technologies come with steep costs for usage rights. For developing countries with limited financial resources, these fees can be prohibitive, preventing adoption of essential tools like solar panels, water purification systems, or clean cooking technologies.</w:t>
      </w:r>
    </w:p>
    <w:p w14:paraId="002BF979">
      <w:pPr>
        <w:numPr>
          <w:ilvl w:val="0"/>
          <w:numId w:val="2"/>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Patent Thickets</w:t>
      </w:r>
      <w:r>
        <w:rPr>
          <w:rFonts w:ascii="Times New Roman" w:hAnsi="Times New Roman" w:eastAsia="Times New Roman" w:cs="Times New Roman"/>
          <w:sz w:val="24"/>
          <w:szCs w:val="24"/>
          <w:lang w:val="en-US"/>
        </w:rPr>
        <w:t>: In sectors like electric vehicles or renewable energy, overlapping patents held by multiple entities can create a dense web of legal claims. Navigating these thickets requires legal expertise and negotiation power that many smaller firms or governments lack, stalling innovation and deployment.</w:t>
      </w:r>
    </w:p>
    <w:p w14:paraId="35AEABF8">
      <w:pPr>
        <w:pStyle w:val="7"/>
        <w:spacing w:line="360" w:lineRule="auto"/>
      </w:pPr>
      <w:r>
        <w:rPr>
          <w:b/>
          <w:bCs/>
        </w:rPr>
        <w:t xml:space="preserve"> Monopolistic Practices</w:t>
      </w:r>
      <w:r>
        <w:t>: Dominant corporations may use their IP portfolios to control markets, restrict competition, or delay the entry of alternative solutions. This can lead to technological lock-in, where Rethinking IP for Climate Equity</w:t>
      </w:r>
    </w:p>
    <w:p w14:paraId="78D2C663">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 xml:space="preserve">To resolve this paradox, there is growing momentum toward </w:t>
      </w:r>
      <w:r>
        <w:rPr>
          <w:rFonts w:ascii="Times New Roman" w:hAnsi="Times New Roman" w:eastAsia="Times New Roman" w:cs="Times New Roman"/>
          <w:bCs/>
          <w:sz w:val="24"/>
          <w:szCs w:val="24"/>
          <w:lang w:val="en-US"/>
        </w:rPr>
        <w:t>reforming IP frameworks</w:t>
      </w:r>
      <w:r>
        <w:rPr>
          <w:rFonts w:ascii="Times New Roman" w:hAnsi="Times New Roman" w:eastAsia="Times New Roman" w:cs="Times New Roman"/>
          <w:sz w:val="24"/>
          <w:szCs w:val="24"/>
          <w:lang w:val="en-US"/>
        </w:rPr>
        <w:t xml:space="preserve"> and promoting </w:t>
      </w:r>
      <w:r>
        <w:rPr>
          <w:rFonts w:ascii="Times New Roman" w:hAnsi="Times New Roman" w:eastAsia="Times New Roman" w:cs="Times New Roman"/>
          <w:bCs/>
          <w:sz w:val="24"/>
          <w:szCs w:val="24"/>
          <w:lang w:val="en-US"/>
        </w:rPr>
        <w:t>inclusive innovation</w:t>
      </w:r>
      <w:r>
        <w:rPr>
          <w:rFonts w:ascii="Times New Roman" w:hAnsi="Times New Roman" w:eastAsia="Times New Roman" w:cs="Times New Roman"/>
          <w:sz w:val="24"/>
          <w:szCs w:val="24"/>
          <w:lang w:val="en-US"/>
        </w:rPr>
        <w:t>:</w:t>
      </w:r>
    </w:p>
    <w:p w14:paraId="449E2263">
      <w:pPr>
        <w:numPr>
          <w:ilvl w:val="0"/>
          <w:numId w:val="3"/>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Compulsory Licensing</w:t>
      </w:r>
      <w:r>
        <w:rPr>
          <w:rFonts w:ascii="Times New Roman" w:hAnsi="Times New Roman" w:eastAsia="Times New Roman" w:cs="Times New Roman"/>
          <w:sz w:val="24"/>
          <w:szCs w:val="24"/>
          <w:lang w:val="en-US"/>
        </w:rPr>
        <w:t>: Governments can authorize the use of patented technologies without the owner's consent in cases of public interest, such as climate emergencies.</w:t>
      </w:r>
    </w:p>
    <w:p w14:paraId="6BE093AB">
      <w:pPr>
        <w:numPr>
          <w:ilvl w:val="0"/>
          <w:numId w:val="3"/>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Patent Pools and Open Licensing</w:t>
      </w:r>
      <w:r>
        <w:rPr>
          <w:rFonts w:ascii="Times New Roman" w:hAnsi="Times New Roman" w:eastAsia="Times New Roman" w:cs="Times New Roman"/>
          <w:sz w:val="24"/>
          <w:szCs w:val="24"/>
          <w:lang w:val="en-US"/>
        </w:rPr>
        <w:t>: Collaborative models allow multiple patent holders to share technologies under fair terms, reducing barriers and fostering global cooperation.</w:t>
      </w:r>
    </w:p>
    <w:p w14:paraId="67A7A799">
      <w:pPr>
        <w:spacing w:before="100" w:beforeAutospacing="1" w:after="100" w:afterAutospacing="1" w:line="360" w:lineRule="auto"/>
        <w:ind w:left="360"/>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Technology Transfer Initiatives</w:t>
      </w:r>
      <w:r>
        <w:rPr>
          <w:rFonts w:ascii="Times New Roman" w:hAnsi="Times New Roman" w:eastAsia="Times New Roman" w:cs="Times New Roman"/>
          <w:sz w:val="24"/>
          <w:szCs w:val="24"/>
          <w:lang w:val="en-US"/>
        </w:rPr>
        <w:t>: International organizations and public-private partnerships are working to facilitate the transfer of green technologies to developing nations through capacity-building and IP-sharing agreements. Only a few players dictate the pace and direction of green innovation.</w:t>
      </w:r>
    </w:p>
    <w:p w14:paraId="7E4FAC22">
      <w:pPr>
        <w:spacing w:before="100" w:beforeAutospacing="1" w:after="100" w:afterAutospacing="1" w:line="240" w:lineRule="auto"/>
        <w:rPr>
          <w:rFonts w:ascii="Times New Roman" w:hAnsi="Times New Roman" w:eastAsia="Times New Roman" w:cs="Times New Roman"/>
          <w:sz w:val="28"/>
          <w:szCs w:val="28"/>
          <w:lang w:val="en-US"/>
        </w:rPr>
      </w:pPr>
      <w:r>
        <w:rPr>
          <w:rFonts w:ascii="Times New Roman" w:hAnsi="Times New Roman" w:eastAsia="Times New Roman" w:cs="Times New Roman"/>
          <w:b/>
          <w:bCs/>
          <w:sz w:val="28"/>
          <w:szCs w:val="28"/>
          <w:lang w:val="en-US"/>
        </w:rPr>
        <w:t>Policy Mechanisms for Equitable Dissemination</w:t>
      </w:r>
      <w:r>
        <w:rPr>
          <w:rStyle w:val="5"/>
          <w:rFonts w:ascii="Times New Roman" w:hAnsi="Times New Roman" w:eastAsia="Times New Roman" w:cs="Times New Roman"/>
          <w:sz w:val="28"/>
          <w:szCs w:val="28"/>
          <w:lang w:val="en-US"/>
        </w:rPr>
        <w:footnoteReference w:id="4"/>
      </w:r>
    </w:p>
    <w:p w14:paraId="23E19E12">
      <w:pPr>
        <w:pStyle w:val="7"/>
        <w:spacing w:line="360" w:lineRule="auto"/>
      </w:pPr>
      <w:r>
        <w:t xml:space="preserve">As the urgency of climate action intensifies, the need to ensure </w:t>
      </w:r>
      <w:r>
        <w:rPr>
          <w:rStyle w:val="8"/>
          <w:b w:val="0"/>
        </w:rPr>
        <w:t>equitable access</w:t>
      </w:r>
      <w:r>
        <w:rPr>
          <w:b/>
        </w:rPr>
        <w:t xml:space="preserve"> </w:t>
      </w:r>
      <w:r>
        <w:t xml:space="preserve">to green technologies has become a central concern for policymakers, international organizations, and innovators alike. Intellectual property rights (IPR), while essential for incentivizing innovation, must be complemented by </w:t>
      </w:r>
      <w:r>
        <w:rPr>
          <w:rStyle w:val="8"/>
          <w:b w:val="0"/>
        </w:rPr>
        <w:t>inclusive policy mechanisms</w:t>
      </w:r>
      <w:r>
        <w:t xml:space="preserve"> that facilitate the </w:t>
      </w:r>
      <w:r>
        <w:rPr>
          <w:rStyle w:val="8"/>
          <w:b w:val="0"/>
        </w:rPr>
        <w:t>dissemination</w:t>
      </w:r>
      <w:r>
        <w:rPr>
          <w:b/>
        </w:rPr>
        <w:t xml:space="preserve"> </w:t>
      </w:r>
      <w:r>
        <w:t>of climate-critical solutions—especially to developing countries and vulnerable communities.</w:t>
      </w:r>
    </w:p>
    <w:p w14:paraId="0DD09963">
      <w:pPr>
        <w:pStyle w:val="7"/>
        <w:spacing w:line="360" w:lineRule="auto"/>
      </w:pPr>
      <w:r>
        <w:t>Several key tools have emerged to bridge the gap between innovation and accessibility:</w:t>
      </w:r>
    </w:p>
    <w:p w14:paraId="17867159">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Patent Pools: Collaborative Licensing for Shared Progress</w:t>
      </w:r>
    </w:p>
    <w:p w14:paraId="6534E32D">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Cs/>
          <w:sz w:val="24"/>
          <w:szCs w:val="24"/>
          <w:lang w:val="en-US"/>
        </w:rPr>
        <w:t>Patent pools</w:t>
      </w:r>
      <w:r>
        <w:rPr>
          <w:rFonts w:ascii="Times New Roman" w:hAnsi="Times New Roman" w:eastAsia="Times New Roman" w:cs="Times New Roman"/>
          <w:sz w:val="24"/>
          <w:szCs w:val="24"/>
          <w:lang w:val="en-US"/>
        </w:rPr>
        <w:t xml:space="preserve"> are voluntary agreements where multiple patent holders aggregate their technologies and offer them under a unified licensing framework. This model:</w:t>
      </w:r>
    </w:p>
    <w:p w14:paraId="056057B9">
      <w:pPr>
        <w:numPr>
          <w:ilvl w:val="0"/>
          <w:numId w:val="4"/>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Reduces transaction costs</w:t>
      </w:r>
      <w:r>
        <w:rPr>
          <w:rFonts w:ascii="Times New Roman" w:hAnsi="Times New Roman" w:eastAsia="Times New Roman" w:cs="Times New Roman"/>
          <w:sz w:val="24"/>
          <w:szCs w:val="24"/>
          <w:lang w:val="en-US"/>
        </w:rPr>
        <w:t xml:space="preserve"> by simplifying negotiations and licensing procedures.</w:t>
      </w:r>
    </w:p>
    <w:p w14:paraId="5C2C39B7">
      <w:pPr>
        <w:numPr>
          <w:ilvl w:val="0"/>
          <w:numId w:val="4"/>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Minimizes legal complexity</w:t>
      </w:r>
      <w:r>
        <w:rPr>
          <w:rFonts w:ascii="Times New Roman" w:hAnsi="Times New Roman" w:eastAsia="Times New Roman" w:cs="Times New Roman"/>
          <w:sz w:val="24"/>
          <w:szCs w:val="24"/>
          <w:lang w:val="en-US"/>
        </w:rPr>
        <w:t xml:space="preserve"> by avoiding overlapping claims and patent thickets.</w:t>
      </w:r>
    </w:p>
    <w:p w14:paraId="0DD995C0">
      <w:pPr>
        <w:numPr>
          <w:ilvl w:val="0"/>
          <w:numId w:val="4"/>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Promotes interoperability</w:t>
      </w:r>
      <w:r>
        <w:rPr>
          <w:rFonts w:ascii="Times New Roman" w:hAnsi="Times New Roman" w:eastAsia="Times New Roman" w:cs="Times New Roman"/>
          <w:sz w:val="24"/>
          <w:szCs w:val="24"/>
          <w:lang w:val="en-US"/>
        </w:rPr>
        <w:t xml:space="preserve"> and standardization, especially in sectors like renewable energy and electric mobility.</w:t>
      </w:r>
    </w:p>
    <w:p w14:paraId="5A973939">
      <w:pPr>
        <w:numPr>
          <w:ilvl w:val="0"/>
          <w:numId w:val="4"/>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Encourages participation</w:t>
      </w:r>
      <w:r>
        <w:rPr>
          <w:rFonts w:ascii="Times New Roman" w:hAnsi="Times New Roman" w:eastAsia="Times New Roman" w:cs="Times New Roman"/>
          <w:sz w:val="24"/>
          <w:szCs w:val="24"/>
          <w:lang w:val="en-US"/>
        </w:rPr>
        <w:t xml:space="preserve"> from smaller firms and developing nations by offering fair and transparent terms.</w:t>
      </w:r>
    </w:p>
    <w:p w14:paraId="1E381341">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Example</w:t>
      </w:r>
      <w:r>
        <w:rPr>
          <w:rFonts w:ascii="Times New Roman" w:hAnsi="Times New Roman" w:eastAsia="Times New Roman" w:cs="Times New Roman"/>
          <w:sz w:val="24"/>
          <w:szCs w:val="24"/>
          <w:lang w:val="en-US"/>
        </w:rPr>
        <w:t>: The WIPO GREEN platform facilitates connections between technology providers and seekers, promoting sustainable innovation through shared IP resources.</w:t>
      </w:r>
    </w:p>
    <w:p w14:paraId="672D5584">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Compulsory Licensing: Prioritizing Public Interest</w:t>
      </w:r>
    </w:p>
    <w:p w14:paraId="149FC9E4">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Compulsory licensing</w:t>
      </w:r>
      <w:r>
        <w:rPr>
          <w:rFonts w:ascii="Times New Roman" w:hAnsi="Times New Roman" w:eastAsia="Times New Roman" w:cs="Times New Roman"/>
          <w:sz w:val="24"/>
          <w:szCs w:val="24"/>
          <w:lang w:val="en-US"/>
        </w:rPr>
        <w:t xml:space="preserve"> allows governments to authorize the use of patented technologies without the consent of the patent holder, typically in cases of national emergency or public interest. In the context of climate change, this tool can be vital for:</w:t>
      </w:r>
    </w:p>
    <w:p w14:paraId="18457FCD">
      <w:pPr>
        <w:numPr>
          <w:ilvl w:val="0"/>
          <w:numId w:val="5"/>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Rapid deployment</w:t>
      </w:r>
      <w:r>
        <w:rPr>
          <w:rFonts w:ascii="Times New Roman" w:hAnsi="Times New Roman" w:eastAsia="Times New Roman" w:cs="Times New Roman"/>
          <w:sz w:val="24"/>
          <w:szCs w:val="24"/>
          <w:lang w:val="en-US"/>
        </w:rPr>
        <w:t xml:space="preserve"> of essential technologies during climate disasters or extreme events.</w:t>
      </w:r>
    </w:p>
    <w:p w14:paraId="296AC99B">
      <w:pPr>
        <w:numPr>
          <w:ilvl w:val="0"/>
          <w:numId w:val="5"/>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Overcoming monopolistic barriers</w:t>
      </w:r>
      <w:r>
        <w:rPr>
          <w:rFonts w:ascii="Times New Roman" w:hAnsi="Times New Roman" w:eastAsia="Times New Roman" w:cs="Times New Roman"/>
          <w:sz w:val="24"/>
          <w:szCs w:val="24"/>
          <w:lang w:val="en-US"/>
        </w:rPr>
        <w:t xml:space="preserve"> when critical innovations are withheld or overpriced.</w:t>
      </w:r>
    </w:p>
    <w:p w14:paraId="537192DA">
      <w:pPr>
        <w:numPr>
          <w:ilvl w:val="0"/>
          <w:numId w:val="5"/>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Empowering local production</w:t>
      </w:r>
      <w:r>
        <w:rPr>
          <w:rFonts w:ascii="Times New Roman" w:hAnsi="Times New Roman" w:eastAsia="Times New Roman" w:cs="Times New Roman"/>
          <w:sz w:val="24"/>
          <w:szCs w:val="24"/>
          <w:lang w:val="en-US"/>
        </w:rPr>
        <w:t xml:space="preserve"> and adaptation of green technologies to suit regional needs.</w:t>
      </w:r>
    </w:p>
    <w:p w14:paraId="7EBE91BD">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While controversial, compulsory licensing is recognized under international IP frameworks such as the TRIPS Agreement, and has precedent in public health and agriculture.</w:t>
      </w:r>
    </w:p>
    <w:p w14:paraId="586325F2">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Open-Source Models: Democratizing Innovation</w:t>
      </w:r>
    </w:p>
    <w:p w14:paraId="2CC92D47">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Open-source models</w:t>
      </w:r>
      <w:r>
        <w:rPr>
          <w:rFonts w:ascii="Times New Roman" w:hAnsi="Times New Roman" w:eastAsia="Times New Roman" w:cs="Times New Roman"/>
          <w:sz w:val="24"/>
          <w:szCs w:val="24"/>
          <w:lang w:val="en-US"/>
        </w:rPr>
        <w:t xml:space="preserve"> represent a paradigm shift in how technologies are developed and shared. By making designs, data, and code freely available, these models:</w:t>
      </w:r>
    </w:p>
    <w:p w14:paraId="1598791C">
      <w:pPr>
        <w:numPr>
          <w:ilvl w:val="0"/>
          <w:numId w:val="6"/>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Foster collaborative innovation</w:t>
      </w:r>
      <w:r>
        <w:rPr>
          <w:rFonts w:ascii="Times New Roman" w:hAnsi="Times New Roman" w:eastAsia="Times New Roman" w:cs="Times New Roman"/>
          <w:sz w:val="24"/>
          <w:szCs w:val="24"/>
          <w:lang w:val="en-US"/>
        </w:rPr>
        <w:t xml:space="preserve"> across borders, disciplines, and sectors.</w:t>
      </w:r>
    </w:p>
    <w:p w14:paraId="09BB9B8F">
      <w:pPr>
        <w:numPr>
          <w:ilvl w:val="0"/>
          <w:numId w:val="6"/>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Accelerate diffusion</w:t>
      </w:r>
      <w:r>
        <w:rPr>
          <w:rFonts w:ascii="Times New Roman" w:hAnsi="Times New Roman" w:eastAsia="Times New Roman" w:cs="Times New Roman"/>
          <w:sz w:val="24"/>
          <w:szCs w:val="24"/>
          <w:lang w:val="en-US"/>
        </w:rPr>
        <w:t xml:space="preserve"> by removing licensing barriers and encouraging adaptation.</w:t>
      </w:r>
    </w:p>
    <w:p w14:paraId="7F2A2509">
      <w:pPr>
        <w:numPr>
          <w:ilvl w:val="0"/>
          <w:numId w:val="6"/>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Empower grassroots solutions</w:t>
      </w:r>
      <w:r>
        <w:rPr>
          <w:rFonts w:ascii="Times New Roman" w:hAnsi="Times New Roman" w:eastAsia="Times New Roman" w:cs="Times New Roman"/>
          <w:sz w:val="24"/>
          <w:szCs w:val="24"/>
          <w:lang w:val="en-US"/>
        </w:rPr>
        <w:t>, enabling communities to co-create technologies suited to their unique environmental challenges.</w:t>
      </w:r>
    </w:p>
    <w:p w14:paraId="1D14C354">
      <w:pPr>
        <w:numPr>
          <w:ilvl w:val="0"/>
          <w:numId w:val="6"/>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Build inclusive ecosystems</w:t>
      </w:r>
      <w:r>
        <w:rPr>
          <w:rFonts w:ascii="Times New Roman" w:hAnsi="Times New Roman" w:eastAsia="Times New Roman" w:cs="Times New Roman"/>
          <w:sz w:val="24"/>
          <w:szCs w:val="24"/>
          <w:lang w:val="en-US"/>
        </w:rPr>
        <w:t xml:space="preserve"> where knowledge is treated as a public good rather than a proprietary asset.</w:t>
      </w:r>
    </w:p>
    <w:p w14:paraId="1AA1795E">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Example</w:t>
      </w:r>
      <w:r>
        <w:rPr>
          <w:rFonts w:ascii="Times New Roman" w:hAnsi="Times New Roman" w:eastAsia="Times New Roman" w:cs="Times New Roman"/>
          <w:sz w:val="24"/>
          <w:szCs w:val="24"/>
          <w:lang w:val="en-US"/>
        </w:rPr>
        <w:t>: Open-source solar panel designs and low-cost irrigation systems have been adopted in rural areas to improve energy access and agricultural resilience.</w:t>
      </w:r>
    </w:p>
    <w:p w14:paraId="52293EA6">
      <w:pPr>
        <w:pStyle w:val="7"/>
        <w:rPr>
          <w:sz w:val="28"/>
          <w:szCs w:val="28"/>
        </w:rPr>
      </w:pPr>
      <w:r>
        <w:rPr>
          <w:b/>
          <w:bCs/>
          <w:sz w:val="28"/>
          <w:szCs w:val="28"/>
        </w:rPr>
        <w:t>International Frameworks and Global Coordination</w:t>
      </w:r>
      <w:r>
        <w:rPr>
          <w:rStyle w:val="5"/>
          <w:sz w:val="28"/>
          <w:szCs w:val="28"/>
        </w:rPr>
        <w:footnoteReference w:id="5"/>
      </w:r>
    </w:p>
    <w:p w14:paraId="02D10A99">
      <w:pPr>
        <w:pStyle w:val="7"/>
        <w:spacing w:line="360" w:lineRule="auto"/>
      </w:pPr>
      <w:r>
        <w:t xml:space="preserve">The development and dissemination of green technologies—ranging from renewable energy systems and carbon capture solutions to sustainable agriculture and eco-friendly manufacturing—are not governed solely by domestic policy decisions or market dynamics. Instead, they are profoundly shaped by </w:t>
      </w:r>
      <w:r>
        <w:rPr>
          <w:rStyle w:val="8"/>
        </w:rPr>
        <w:t>international legal frameworks and multilateral agreements</w:t>
      </w:r>
      <w:r>
        <w:t xml:space="preserve"> that establish norms, obligations, and cooperative mechanisms across borders. Among the most influential instruments in this domain are the </w:t>
      </w:r>
      <w:r>
        <w:rPr>
          <w:rStyle w:val="8"/>
        </w:rPr>
        <w:t>Agreement on Trade-Related Aspects of Intellectual Property Rights (TRIPS)</w:t>
      </w:r>
      <w:r>
        <w:t xml:space="preserve">, administered by the World Trade Organization (WTO), and the </w:t>
      </w:r>
      <w:r>
        <w:rPr>
          <w:rStyle w:val="8"/>
        </w:rPr>
        <w:t>Paris Climate Accord</w:t>
      </w:r>
      <w:r>
        <w:t>, adopted under the United Nations Framework Convention on Climate Change (UNFCCC).</w:t>
      </w:r>
    </w:p>
    <w:p w14:paraId="04E2B657">
      <w:pPr>
        <w:pStyle w:val="7"/>
        <w:spacing w:line="360" w:lineRule="auto"/>
      </w:pPr>
      <w:r>
        <w:t xml:space="preserve">The </w:t>
      </w:r>
      <w:r>
        <w:rPr>
          <w:rStyle w:val="8"/>
        </w:rPr>
        <w:t>TRIPS Agreement</w:t>
      </w:r>
      <w:r>
        <w:t xml:space="preserve"> sets global standards for the protection and enforcement of intellectual property rights, including patents, copyrights, and trademarks. While it aims to foster innovation and economic growth by ensuring legal certainty for inventors and investors, it also introduces challenges for equitable access—particularly in the realm of green technologies. TRIPS includes provisions for </w:t>
      </w:r>
      <w:r>
        <w:rPr>
          <w:rStyle w:val="8"/>
        </w:rPr>
        <w:t>compulsory licensing</w:t>
      </w:r>
      <w:r>
        <w:t xml:space="preserve"> and other flexibilities that allow countries to bypass patent restrictions in the public interest, offering a legal pathway to access climate-critical innovations during environmental emergencies or for sustainable development.</w:t>
      </w:r>
    </w:p>
    <w:p w14:paraId="397F642D">
      <w:pPr>
        <w:pStyle w:val="7"/>
        <w:spacing w:line="360" w:lineRule="auto"/>
      </w:pPr>
      <w:r>
        <w:t xml:space="preserve">In contrast, the </w:t>
      </w:r>
      <w:r>
        <w:rPr>
          <w:rStyle w:val="8"/>
        </w:rPr>
        <w:t>Paris Climate Accord</w:t>
      </w:r>
      <w:r>
        <w:t xml:space="preserve"> focuses explicitly on climate action, emphasizing the need for </w:t>
      </w:r>
      <w:r>
        <w:rPr>
          <w:rStyle w:val="8"/>
          <w:b w:val="0"/>
        </w:rPr>
        <w:t>technology transfer</w:t>
      </w:r>
      <w:r>
        <w:rPr>
          <w:b/>
        </w:rPr>
        <w:t xml:space="preserve">, </w:t>
      </w:r>
      <w:r>
        <w:rPr>
          <w:rStyle w:val="8"/>
          <w:b w:val="0"/>
        </w:rPr>
        <w:t>capacity-building</w:t>
      </w:r>
      <w:r>
        <w:rPr>
          <w:b/>
        </w:rPr>
        <w:t>,</w:t>
      </w:r>
      <w:r>
        <w:t xml:space="preserve"> and </w:t>
      </w:r>
      <w:r>
        <w:rPr>
          <w:rStyle w:val="8"/>
          <w:b w:val="0"/>
        </w:rPr>
        <w:t>global collaboration</w:t>
      </w:r>
      <w:r>
        <w:t xml:space="preserve"> to mitigate and adapt to climate change. It encourages developed nations to support developing countries in acquiring and implementing environmentally sound technologies, recognizing that climate resilience must be a shared global endeavor. Though it does not directly legislate intellectual property rights, the Paris Agreement implicitly challenges the global IP regime to evolve in ways that promote </w:t>
      </w:r>
      <w:r>
        <w:rPr>
          <w:rStyle w:val="8"/>
          <w:b w:val="0"/>
        </w:rPr>
        <w:t>inclusive innovation</w:t>
      </w:r>
      <w:r>
        <w:rPr>
          <w:b/>
        </w:rPr>
        <w:t xml:space="preserve"> and </w:t>
      </w:r>
      <w:r>
        <w:rPr>
          <w:rStyle w:val="8"/>
          <w:b w:val="0"/>
        </w:rPr>
        <w:t>equitable dissemination</w:t>
      </w:r>
      <w:r>
        <w:rPr>
          <w:b/>
        </w:rPr>
        <w:t>.</w:t>
      </w:r>
    </w:p>
    <w:p w14:paraId="00FBA56C">
      <w:pPr>
        <w:pStyle w:val="7"/>
        <w:spacing w:line="360" w:lineRule="auto"/>
      </w:pPr>
      <w:r>
        <w:t xml:space="preserve">Together, TRIPS and the Paris Climate Accord define the </w:t>
      </w:r>
      <w:r>
        <w:rPr>
          <w:rStyle w:val="8"/>
          <w:b w:val="0"/>
        </w:rPr>
        <w:t>boundaries and possibilities</w:t>
      </w:r>
      <w:r>
        <w:t xml:space="preserve"> for how intellectual property interacts with climate action. They represent two sides of a complex equation: one focused on protecting innovation, the other on ensuring that innovation serves the broader public good. Navigating this intersection is essential for unlocking the full potential of green technologies in the global fight against climate change.</w:t>
      </w:r>
    </w:p>
    <w:p w14:paraId="6E097836">
      <w:pPr>
        <w:spacing w:before="100" w:beforeAutospacing="1" w:after="100" w:afterAutospacing="1" w:line="240" w:lineRule="auto"/>
        <w:rPr>
          <w:rFonts w:ascii="Times New Roman" w:hAnsi="Times New Roman" w:eastAsia="Times New Roman" w:cs="Times New Roman"/>
          <w:sz w:val="28"/>
          <w:szCs w:val="28"/>
          <w:lang w:val="en-US"/>
        </w:rPr>
      </w:pPr>
      <w:r>
        <w:rPr>
          <w:rFonts w:ascii="Times New Roman" w:hAnsi="Times New Roman" w:eastAsia="Times New Roman" w:cs="Times New Roman"/>
          <w:b/>
          <w:bCs/>
          <w:sz w:val="28"/>
          <w:szCs w:val="28"/>
          <w:lang w:val="en-US"/>
        </w:rPr>
        <w:t>Case Studies: Innovation in Action</w:t>
      </w:r>
    </w:p>
    <w:p w14:paraId="733EEB57">
      <w:pPr>
        <w:pStyle w:val="7"/>
        <w:spacing w:line="360" w:lineRule="auto"/>
      </w:pPr>
      <w:r>
        <w:rPr>
          <w:b/>
          <w:bCs/>
        </w:rPr>
        <w:t>India’s Solar Mission</w:t>
      </w:r>
      <w:r>
        <w:t>: launched in 2010 as part of the country’s National Action Plan on Climate Change, aimed to make solar energy affordable and widely accessible. The initiative focused on:</w:t>
      </w:r>
    </w:p>
    <w:p w14:paraId="2412EC8D">
      <w:pPr>
        <w:numPr>
          <w:ilvl w:val="0"/>
          <w:numId w:val="7"/>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Promoting domestic innovation</w:t>
      </w:r>
      <w:r>
        <w:rPr>
          <w:rFonts w:ascii="Times New Roman" w:hAnsi="Times New Roman" w:eastAsia="Times New Roman" w:cs="Times New Roman"/>
          <w:sz w:val="24"/>
          <w:szCs w:val="24"/>
          <w:lang w:val="en-US"/>
        </w:rPr>
        <w:t>: India invested heavily in local R&amp;D, encouraging public and private institutions to develop indigenous solar technologies tailored to regional conditions.</w:t>
      </w:r>
    </w:p>
    <w:p w14:paraId="55E01439">
      <w:pPr>
        <w:numPr>
          <w:ilvl w:val="0"/>
          <w:numId w:val="7"/>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Selective licensing and public-private partnerships</w:t>
      </w:r>
      <w:r>
        <w:rPr>
          <w:rFonts w:ascii="Times New Roman" w:hAnsi="Times New Roman" w:eastAsia="Times New Roman" w:cs="Times New Roman"/>
          <w:sz w:val="24"/>
          <w:szCs w:val="24"/>
          <w:lang w:val="en-US"/>
        </w:rPr>
        <w:t>: The government facilitated technology transfer through negotiated licensing agreements, allowing domestic manufacturers to scale up production without infringing on foreign patents.</w:t>
      </w:r>
    </w:p>
    <w:p w14:paraId="3AF5B7CB">
      <w:pPr>
        <w:numPr>
          <w:ilvl w:val="0"/>
          <w:numId w:val="7"/>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Policy support and subsidies</w:t>
      </w:r>
      <w:r>
        <w:rPr>
          <w:rFonts w:ascii="Times New Roman" w:hAnsi="Times New Roman" w:eastAsia="Times New Roman" w:cs="Times New Roman"/>
          <w:sz w:val="24"/>
          <w:szCs w:val="24"/>
          <w:lang w:val="en-US"/>
        </w:rPr>
        <w:t>: Incentives such as feed-in tariffs, viability gap funding, and accelerated depreciation helped reduce costs and attract investment.</w:t>
      </w:r>
    </w:p>
    <w:p w14:paraId="3A21C20C">
      <w:pPr>
        <w:pStyle w:val="7"/>
        <w:spacing w:line="360" w:lineRule="auto"/>
      </w:pPr>
      <w:r>
        <w:rPr>
          <w:b/>
          <w:bCs/>
        </w:rPr>
        <w:t>Bhungroo Technology</w:t>
      </w:r>
      <w:r>
        <w:t xml:space="preserve">: </w:t>
      </w:r>
      <w:r>
        <w:rPr>
          <w:b/>
          <w:bCs/>
        </w:rPr>
        <w:t>Bhungroo</w:t>
      </w:r>
      <w:r>
        <w:t>, developed by Indian social enterprise Naireeta Services, is a low-cost, climate-resilient water management system that enables farmers to store excess rainwater underground and reuse it during dry spells. Its dissemination model is notable for:</w:t>
      </w:r>
    </w:p>
    <w:p w14:paraId="46EEFD8E">
      <w:pPr>
        <w:numPr>
          <w:ilvl w:val="0"/>
          <w:numId w:val="8"/>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Open innovation platforms</w:t>
      </w:r>
      <w:r>
        <w:rPr>
          <w:rFonts w:ascii="Times New Roman" w:hAnsi="Times New Roman" w:eastAsia="Times New Roman" w:cs="Times New Roman"/>
          <w:sz w:val="24"/>
          <w:szCs w:val="24"/>
          <w:lang w:val="en-US"/>
        </w:rPr>
        <w:t>: Rather than relying on restrictive patents, Bhungroo was shared through collaborative networks and knowledge-sharing initiatives, including WIPO GREEN and grassroots organizations.</w:t>
      </w:r>
    </w:p>
    <w:p w14:paraId="6B3FA9D9">
      <w:pPr>
        <w:numPr>
          <w:ilvl w:val="0"/>
          <w:numId w:val="8"/>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Community empowerment</w:t>
      </w:r>
      <w:r>
        <w:rPr>
          <w:rFonts w:ascii="Times New Roman" w:hAnsi="Times New Roman" w:eastAsia="Times New Roman" w:cs="Times New Roman"/>
          <w:sz w:val="24"/>
          <w:szCs w:val="24"/>
          <w:lang w:val="en-US"/>
        </w:rPr>
        <w:t>: The technology was adapted and scaled through local training programs, especially targeting women farmers in drought-prone regions.</w:t>
      </w:r>
    </w:p>
    <w:p w14:paraId="20589D96">
      <w:pPr>
        <w:numPr>
          <w:ilvl w:val="0"/>
          <w:numId w:val="8"/>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Scalability and affordability</w:t>
      </w:r>
      <w:r>
        <w:rPr>
          <w:rFonts w:ascii="Times New Roman" w:hAnsi="Times New Roman" w:eastAsia="Times New Roman" w:cs="Times New Roman"/>
          <w:sz w:val="24"/>
          <w:szCs w:val="24"/>
          <w:lang w:val="en-US"/>
        </w:rPr>
        <w:t>: Its low cost and modular design made it ideal for replication across South Asia and Sub-Saharan Africa.</w:t>
      </w:r>
    </w:p>
    <w:p w14:paraId="4E626F41">
      <w:pPr>
        <w:pStyle w:val="7"/>
        <w:spacing w:line="360" w:lineRule="auto"/>
      </w:pPr>
      <w:r>
        <w:rPr>
          <w:b/>
          <w:bCs/>
        </w:rPr>
        <w:t>Tesla’s Patent Pledge</w:t>
      </w:r>
      <w:r>
        <w:t xml:space="preserve">: In a bold move in 2014, </w:t>
      </w:r>
      <w:r>
        <w:rPr>
          <w:b/>
          <w:bCs/>
        </w:rPr>
        <w:t>Tesla Motors</w:t>
      </w:r>
      <w:r>
        <w:t xml:space="preserve"> announced its </w:t>
      </w:r>
      <w:r>
        <w:rPr>
          <w:b/>
          <w:bCs/>
        </w:rPr>
        <w:t>Patent Pledge</w:t>
      </w:r>
      <w:r>
        <w:t>, releasing its electric vehicle (EV) patents to the public under the condition that they be used in “good faith.” This unconventional approach aimed to:</w:t>
      </w:r>
    </w:p>
    <w:p w14:paraId="4ACEFAEB">
      <w:pPr>
        <w:numPr>
          <w:ilvl w:val="0"/>
          <w:numId w:val="9"/>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Break down market barriers</w:t>
      </w:r>
      <w:r>
        <w:rPr>
          <w:rFonts w:ascii="Times New Roman" w:hAnsi="Times New Roman" w:eastAsia="Times New Roman" w:cs="Times New Roman"/>
          <w:sz w:val="24"/>
          <w:szCs w:val="24"/>
          <w:lang w:val="en-US"/>
        </w:rPr>
        <w:t>: By removing IP restrictions, Tesla encouraged other automakers and startups to enter the EV space, fostering competition and innovation.</w:t>
      </w:r>
    </w:p>
    <w:p w14:paraId="1BB536BA">
      <w:pPr>
        <w:numPr>
          <w:ilvl w:val="0"/>
          <w:numId w:val="9"/>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Expand infrastructure and standards</w:t>
      </w:r>
      <w:r>
        <w:rPr>
          <w:rFonts w:ascii="Times New Roman" w:hAnsi="Times New Roman" w:eastAsia="Times New Roman" w:cs="Times New Roman"/>
          <w:sz w:val="24"/>
          <w:szCs w:val="24"/>
          <w:lang w:val="en-US"/>
        </w:rPr>
        <w:t>: Shared access to Tesla’s technology helped accelerate the development of charging networks and battery systems.</w:t>
      </w:r>
    </w:p>
    <w:p w14:paraId="2FA0A503">
      <w:pPr>
        <w:numPr>
          <w:ilvl w:val="0"/>
          <w:numId w:val="9"/>
        </w:num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b/>
          <w:bCs/>
          <w:sz w:val="24"/>
          <w:szCs w:val="24"/>
          <w:lang w:val="en-US"/>
        </w:rPr>
        <w:t>Align IP strategy with mission</w:t>
      </w:r>
      <w:r>
        <w:rPr>
          <w:rFonts w:ascii="Times New Roman" w:hAnsi="Times New Roman" w:eastAsia="Times New Roman" w:cs="Times New Roman"/>
          <w:sz w:val="24"/>
          <w:szCs w:val="24"/>
          <w:lang w:val="en-US"/>
        </w:rPr>
        <w:t>: Tesla’s decision reflected its broader goal of promoting sustainable transportation, prioritizing environmental impact over exclusive profit.</w:t>
      </w:r>
    </w:p>
    <w:p w14:paraId="743BA453">
      <w:pPr>
        <w:spacing w:before="100" w:beforeAutospacing="1" w:after="100" w:afterAutospacing="1" w:line="360" w:lineRule="auto"/>
        <w:rPr>
          <w:rFonts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rPr>
        <w:t xml:space="preserve">The Patent Pledge redefined how intellectual property can be used as a tool for </w:t>
      </w:r>
      <w:r>
        <w:rPr>
          <w:rFonts w:ascii="Times New Roman" w:hAnsi="Times New Roman" w:eastAsia="Times New Roman" w:cs="Times New Roman"/>
          <w:b/>
          <w:bCs/>
          <w:sz w:val="24"/>
          <w:szCs w:val="24"/>
          <w:lang w:val="en-US"/>
        </w:rPr>
        <w:t>collective progress</w:t>
      </w:r>
      <w:r>
        <w:rPr>
          <w:rFonts w:ascii="Times New Roman" w:hAnsi="Times New Roman" w:eastAsia="Times New Roman" w:cs="Times New Roman"/>
          <w:sz w:val="24"/>
          <w:szCs w:val="24"/>
          <w:lang w:val="en-US"/>
        </w:rPr>
        <w:t>, showing that strategic openness can drive industry-wide transformation.</w:t>
      </w:r>
    </w:p>
    <w:p w14:paraId="00C26637">
      <w:pPr>
        <w:pStyle w:val="7"/>
        <w:rPr>
          <w:b/>
          <w:bCs/>
          <w:sz w:val="28"/>
          <w:szCs w:val="28"/>
        </w:rPr>
      </w:pPr>
      <w:r>
        <w:rPr>
          <w:b/>
          <w:bCs/>
          <w:sz w:val="28"/>
          <w:szCs w:val="28"/>
        </w:rPr>
        <w:t>Emerging Trends: AI, Next-Gen Materials, and Smart Grids</w:t>
      </w:r>
      <w:r>
        <w:rPr>
          <w:rStyle w:val="5"/>
          <w:sz w:val="28"/>
          <w:szCs w:val="28"/>
        </w:rPr>
        <w:footnoteReference w:id="6"/>
      </w:r>
    </w:p>
    <w:p w14:paraId="74B0527B">
      <w:pPr>
        <w:pStyle w:val="7"/>
        <w:spacing w:line="360" w:lineRule="auto"/>
      </w:pPr>
      <w:r>
        <w:t>As green technologies advance, they are increasingly shaped by innovations in artificial intelligence (AI), next-generation materials, and smart infrastructure systems. These developments are enhancing the efficiency, adaptability, and reach of sustainable solutions across sectors such as energy, transportation, agriculture, and urban planning. However, they also introduce complex challenges for intellectual property rights (IPR), which must evolve to accommodate the interdisciplinary and data-driven nature of these emerging technologies.</w:t>
      </w:r>
    </w:p>
    <w:p w14:paraId="42479FD6">
      <w:pPr>
        <w:pStyle w:val="7"/>
        <w:spacing w:line="360" w:lineRule="auto"/>
      </w:pPr>
      <w:r>
        <w:t>Artificial intelligence is becoming integral to green innovation. AI systems are used to optimize energy grids, forecast climate patterns, automate electric vehicles, and manage resource consumption. These applications depend on large datasets and proprietary algorithms, which raise concerns related to data ownership, algorithmic transparency, and the legal status of AI-generated inventions. The reliance on trade secrets to protect algorithms can limit collaboration and slow the dissemination of climate-critical technologies. Moreover, the question of who holds rights to AI-generated outputs complicates traditional notions of inventorship and patent eligibility.</w:t>
      </w:r>
    </w:p>
    <w:p w14:paraId="761D7AF8">
      <w:pPr>
        <w:pStyle w:val="7"/>
        <w:spacing w:line="360" w:lineRule="auto"/>
      </w:pPr>
      <w:r>
        <w:t>Next-generation materials are also transforming the sustainability landscape. Materials such as graphene, bio-based polymers, and perovskite solar cells offer improved performance, lower environmental impact, and broader applicability. These materials often span multiple industries, making patent classification and licensing more complex. The rapid pace of innovation in materials science challenges the capacity of existing IP systems to evaluate and grant protection efficiently. Additionally, intellectual property strategies must account for both the material itself and the processes used to create it, adding further intricacy to patent management.</w:t>
      </w:r>
    </w:p>
    <w:p w14:paraId="04C8A4F9">
      <w:pPr>
        <w:pStyle w:val="7"/>
        <w:spacing w:line="360" w:lineRule="auto"/>
      </w:pPr>
      <w:r>
        <w:t>Smart infrastructure, particularly smart grids, represents another critical area of green technology development. These systems integrate digital communication, sensors, and automation to manage electricity distribution more effectively. Smart grids enable real-time monitoring, decentralized energy production, and integration of renewable sources. The convergence of hardware and software within these systems requires a multifaceted approach to IP protection, often involving overlapping patents and licensing agreements. Interoperability across platforms and devices necessitates open standards, while the handling of sensitive data introduces concerns about cybersecurity and privacy that intersect with intellectual property governance.</w:t>
      </w:r>
    </w:p>
    <w:p w14:paraId="1F2CF444">
      <w:pPr>
        <w:pStyle w:val="7"/>
        <w:spacing w:line="360" w:lineRule="auto"/>
      </w:pPr>
      <w:r>
        <w:t>These emerging trends underscore the need for intellectual property frameworks that are flexible, inclusive, and responsive to technological convergence. Traditional models of IP protection must adapt to the realities of cross-sector innovation, rapid development cycles, and the global imperative for climate action. Hybrid approaches that combine patents, open-source licensing, and collaborative platforms offer promising pathways for balancing innovation with accessibility. International harmonization of IP standards and the creation of sector-specific guidelines can further support the equitable dissemination of green technologies in a rapidly changing world.</w:t>
      </w:r>
    </w:p>
    <w:p w14:paraId="73CACFEF">
      <w:pPr>
        <w:pStyle w:val="7"/>
        <w:rPr>
          <w:sz w:val="28"/>
          <w:szCs w:val="28"/>
        </w:rPr>
      </w:pPr>
      <w:r>
        <w:rPr>
          <w:b/>
          <w:bCs/>
          <w:sz w:val="28"/>
          <w:szCs w:val="28"/>
        </w:rPr>
        <w:t>Rethinking IPR for a Sustainable Future</w:t>
      </w:r>
    </w:p>
    <w:p w14:paraId="1899AC4F">
      <w:pPr>
        <w:pStyle w:val="7"/>
        <w:spacing w:line="360" w:lineRule="auto"/>
      </w:pPr>
      <w:r>
        <w:t>The future of green innovation depends on rethinking IPR frameworks. A shift toward collaborative models, flexible licensing, and global knowledge-sharing is essential. Governments, institutions, and innovators must work together to create an ecosystem that rewards creativity while ensuring equitable access.</w:t>
      </w:r>
    </w:p>
    <w:p w14:paraId="0BB2113D">
      <w:pPr>
        <w:spacing w:line="360" w:lineRule="auto"/>
        <w:rPr>
          <w:rFonts w:ascii="Times New Roman" w:hAnsi="Times New Roman" w:cs="Times New Roman"/>
          <w:b/>
          <w:sz w:val="28"/>
          <w:szCs w:val="28"/>
          <w:lang w:val="en-US"/>
        </w:rPr>
      </w:pPr>
      <w:r>
        <w:rPr>
          <w:rFonts w:ascii="Times New Roman" w:hAnsi="Times New Roman" w:cs="Times New Roman"/>
          <w:b/>
          <w:sz w:val="28"/>
          <w:szCs w:val="28"/>
        </w:rPr>
        <w:t>Conclusion</w:t>
      </w:r>
    </w:p>
    <w:p w14:paraId="3AB1D107">
      <w:pPr>
        <w:spacing w:line="360" w:lineRule="auto"/>
        <w:rPr>
          <w:rFonts w:ascii="Times New Roman" w:hAnsi="Times New Roman" w:cs="Times New Roman"/>
          <w:b/>
          <w:sz w:val="24"/>
          <w:szCs w:val="24"/>
          <w:lang w:val="en-US"/>
        </w:rPr>
      </w:pPr>
      <w:r>
        <w:rPr>
          <w:rFonts w:ascii="Times New Roman" w:hAnsi="Times New Roman" w:cs="Times New Roman"/>
          <w:sz w:val="24"/>
          <w:szCs w:val="24"/>
        </w:rPr>
        <w:t>The intersection of green technologies and IPR is complex but crucial. A balanced approach—one that rewards innovation while ensuring global access—can unlock the full potential of green technologies in combating climate change. The path forward requires coordinated policy, inclusive innovation, and a commitment to sustainability.</w:t>
      </w:r>
    </w:p>
    <w:p w14:paraId="25C9B1BE">
      <w:pPr>
        <w:spacing w:line="360" w:lineRule="auto"/>
        <w:jc w:val="center"/>
        <w:rPr>
          <w:rFonts w:ascii="Times New Roman" w:hAnsi="Times New Roman" w:cs="Times New Roman"/>
          <w:sz w:val="24"/>
          <w:szCs w:val="24"/>
          <w:lang w:val="en-US"/>
        </w:rPr>
      </w:pPr>
    </w:p>
    <w:sectPr>
      <w:pgSz w:w="11906" w:h="16838"/>
      <w:pgMar w:top="567" w:right="567" w:bottom="567" w:left="56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4">
    <w:p>
      <w:pPr>
        <w:spacing w:before="0" w:after="0" w:line="259" w:lineRule="auto"/>
      </w:pPr>
      <w:r>
        <w:separator/>
      </w:r>
    </w:p>
  </w:footnote>
  <w:footnote w:type="continuationSeparator" w:id="15">
    <w:p>
      <w:pPr>
        <w:spacing w:before="0" w:after="0" w:line="259" w:lineRule="auto"/>
      </w:pPr>
      <w:r>
        <w:continuationSeparator/>
      </w:r>
    </w:p>
  </w:footnote>
  <w:footnote w:id="0">
    <w:p w14:paraId="0157B081">
      <w:pPr>
        <w:pStyle w:val="6"/>
        <w:rPr>
          <w:rFonts w:hint="default" w:ascii="Times New Roman" w:hAnsi="Times New Roman" w:cs="Times New Roman"/>
          <w:lang w:val="en-US"/>
        </w:rPr>
      </w:pPr>
      <w:r>
        <w:rPr>
          <w:rStyle w:val="5"/>
        </w:rPr>
        <w:footnoteRef/>
      </w:r>
      <w:r>
        <w:t xml:space="preserve"> </w:t>
      </w:r>
      <w:r>
        <w:rPr>
          <w:rFonts w:ascii="Times New Roman" w:hAnsi="Times New Roman" w:cs="Times New Roman"/>
        </w:rPr>
        <w:t xml:space="preserve">Assistant Professor Dr BR Ambedkar Law College </w:t>
      </w:r>
      <w:r>
        <w:rPr>
          <w:rFonts w:hint="default" w:ascii="Times New Roman" w:hAnsi="Times New Roman" w:cs="Times New Roman"/>
          <w:lang w:val="en-US"/>
        </w:rPr>
        <w:t xml:space="preserve"> Phd Research Scholar at ICFAI Law School Hyderabad </w:t>
      </w:r>
      <w:bookmarkStart w:id="0" w:name="_GoBack"/>
      <w:bookmarkEnd w:id="0"/>
    </w:p>
  </w:footnote>
  <w:footnote w:id="1">
    <w:p w14:paraId="5F05A43B">
      <w:pPr>
        <w:spacing w:line="240" w:lineRule="auto"/>
        <w:ind w:left="720"/>
        <w:rPr>
          <w:rFonts w:ascii="Times New Roman" w:hAnsi="Times New Roman" w:eastAsia="Times New Roman" w:cs="Times New Roman"/>
          <w:sz w:val="20"/>
          <w:szCs w:val="20"/>
          <w:lang w:val="en-US"/>
        </w:rPr>
      </w:pPr>
      <w:r>
        <w:rPr>
          <w:rStyle w:val="5"/>
        </w:rPr>
        <w:footnoteRef/>
      </w:r>
      <w:r>
        <w:t xml:space="preserve"> </w:t>
      </w:r>
      <w:r>
        <w:rPr>
          <w:rFonts w:ascii="Times New Roman" w:hAnsi="Times New Roman" w:eastAsia="Times New Roman" w:cs="Times New Roman"/>
          <w:i/>
          <w:iCs/>
          <w:sz w:val="24"/>
          <w:szCs w:val="24"/>
          <w:lang w:val="en-US"/>
        </w:rPr>
        <w:t xml:space="preserve"> </w:t>
      </w:r>
      <w:r>
        <w:rPr>
          <w:rFonts w:ascii="Times New Roman" w:hAnsi="Times New Roman" w:eastAsia="Times New Roman" w:cs="Times New Roman"/>
          <w:i/>
          <w:iCs/>
          <w:sz w:val="20"/>
          <w:szCs w:val="20"/>
          <w:lang w:val="en-US"/>
        </w:rPr>
        <w:t>Green Innovations and IPR Management</w:t>
      </w:r>
      <w:r>
        <w:rPr>
          <w:rFonts w:ascii="Times New Roman" w:hAnsi="Times New Roman" w:eastAsia="Times New Roman" w:cs="Times New Roman"/>
          <w:sz w:val="20"/>
          <w:szCs w:val="20"/>
          <w:lang w:val="en-US"/>
        </w:rPr>
        <w:t xml:space="preserve"> by Andree Kirchner &amp; Iris Kirchner-Freis explores how legal frameworks support green innovation.</w:t>
      </w:r>
    </w:p>
  </w:footnote>
  <w:footnote w:id="2">
    <w:p w14:paraId="50B9CD9B">
      <w:pPr>
        <w:pStyle w:val="6"/>
      </w:pPr>
      <w:r>
        <w:t xml:space="preserve">                     </w:t>
      </w:r>
      <w:r>
        <w:rPr>
          <w:rStyle w:val="5"/>
        </w:rPr>
        <w:footnoteRef/>
      </w:r>
      <w:r>
        <w:t xml:space="preserve">   Gattari &amp; Hulbert (Harvard Business Review)</w:t>
      </w:r>
    </w:p>
    <w:p w14:paraId="1D77B279">
      <w:pPr>
        <w:pStyle w:val="6"/>
        <w:rPr>
          <w:lang w:val="en-US"/>
        </w:rPr>
      </w:pPr>
    </w:p>
  </w:footnote>
  <w:footnote w:id="3">
    <w:p w14:paraId="70B92D66">
      <w:pPr>
        <w:spacing w:line="240" w:lineRule="auto"/>
        <w:rPr>
          <w:rFonts w:ascii="Times New Roman" w:hAnsi="Times New Roman" w:eastAsia="Times New Roman" w:cs="Times New Roman"/>
          <w:sz w:val="20"/>
          <w:szCs w:val="20"/>
          <w:lang w:val="en-US"/>
        </w:rPr>
      </w:pPr>
      <w:r>
        <w:t xml:space="preserve">                 </w:t>
      </w:r>
      <w:r>
        <w:rPr>
          <w:rStyle w:val="5"/>
        </w:rPr>
        <w:footnoteRef/>
      </w:r>
      <w:r>
        <w:t xml:space="preserve">    </w:t>
      </w:r>
      <w:r>
        <w:rPr>
          <w:rFonts w:ascii="Times New Roman" w:hAnsi="Times New Roman" w:eastAsia="Times New Roman" w:cs="Times New Roman"/>
          <w:sz w:val="20"/>
          <w:szCs w:val="20"/>
          <w:lang w:val="en-US"/>
        </w:rPr>
        <w:t xml:space="preserve">Sharma, R. (NLU Assam) in </w:t>
      </w:r>
      <w:r>
        <w:rPr>
          <w:rFonts w:ascii="Times New Roman" w:hAnsi="Times New Roman" w:eastAsia="Times New Roman" w:cs="Times New Roman"/>
          <w:i/>
          <w:iCs/>
          <w:sz w:val="20"/>
          <w:szCs w:val="20"/>
          <w:lang w:val="en-US"/>
        </w:rPr>
        <w:t>Green Technology and IPR: Tackling Climate Extremes in India</w:t>
      </w:r>
    </w:p>
  </w:footnote>
  <w:footnote w:id="4">
    <w:p w14:paraId="6F3A25C9">
      <w:pPr>
        <w:spacing w:line="240" w:lineRule="auto"/>
        <w:rPr>
          <w:rFonts w:ascii="Times New Roman" w:hAnsi="Times New Roman" w:eastAsia="Times New Roman" w:cs="Times New Roman"/>
          <w:sz w:val="20"/>
          <w:szCs w:val="20"/>
          <w:lang w:val="en-US"/>
        </w:rPr>
      </w:pPr>
      <w:r>
        <w:t xml:space="preserve">                    </w:t>
      </w:r>
      <w:r>
        <w:rPr>
          <w:rStyle w:val="5"/>
        </w:rPr>
        <w:footnoteRef/>
      </w:r>
      <w:r>
        <w:t xml:space="preserve"> </w:t>
      </w:r>
      <w:r>
        <w:rPr>
          <w:rFonts w:ascii="Times New Roman" w:hAnsi="Times New Roman" w:eastAsia="Times New Roman" w:cs="Times New Roman"/>
          <w:sz w:val="20"/>
          <w:szCs w:val="20"/>
          <w:lang w:val="en-US"/>
        </w:rPr>
        <w:t xml:space="preserve">Murthy &amp; Kumari (HPNLU Law Journal, 2022) </w:t>
      </w:r>
    </w:p>
    <w:p w14:paraId="4EDC52F1">
      <w:pPr>
        <w:pStyle w:val="6"/>
        <w:rPr>
          <w:lang w:val="en-US"/>
        </w:rPr>
      </w:pPr>
    </w:p>
  </w:footnote>
  <w:footnote w:id="5">
    <w:p w14:paraId="334B5B30">
      <w:pPr>
        <w:spacing w:line="240" w:lineRule="auto"/>
        <w:rPr>
          <w:rFonts w:ascii="Times New Roman" w:hAnsi="Times New Roman" w:eastAsia="Times New Roman" w:cs="Times New Roman"/>
          <w:sz w:val="20"/>
          <w:szCs w:val="20"/>
          <w:lang w:val="en-US"/>
        </w:rPr>
      </w:pPr>
      <w:r>
        <w:rPr>
          <w:rStyle w:val="5"/>
        </w:rPr>
        <w:footnoteRef/>
      </w:r>
      <w:r>
        <w:t xml:space="preserve"> </w:t>
      </w:r>
      <w:r>
        <w:rPr>
          <w:rFonts w:ascii="Times New Roman" w:hAnsi="Times New Roman" w:eastAsia="Times New Roman" w:cs="Times New Roman"/>
          <w:i/>
          <w:iCs/>
          <w:sz w:val="20"/>
          <w:szCs w:val="20"/>
          <w:lang w:val="en-US"/>
        </w:rPr>
        <w:t>Critical Analysis of Green Technology and Green Patents</w:t>
      </w:r>
      <w:r>
        <w:rPr>
          <w:rFonts w:ascii="Times New Roman" w:hAnsi="Times New Roman" w:eastAsia="Times New Roman" w:cs="Times New Roman"/>
          <w:sz w:val="20"/>
          <w:szCs w:val="20"/>
          <w:lang w:val="en-US"/>
        </w:rPr>
        <w:t xml:space="preserve"> (IJFMR, 2024)</w:t>
      </w:r>
    </w:p>
    <w:p w14:paraId="1F630EEC">
      <w:pPr>
        <w:pStyle w:val="6"/>
        <w:rPr>
          <w:lang w:val="en-US"/>
        </w:rPr>
      </w:pPr>
    </w:p>
  </w:footnote>
  <w:footnote w:id="6">
    <w:p w14:paraId="033FF729">
      <w:pPr>
        <w:spacing w:line="240" w:lineRule="auto"/>
        <w:rPr>
          <w:rFonts w:ascii="Times New Roman" w:hAnsi="Times New Roman" w:eastAsia="Times New Roman" w:cs="Times New Roman"/>
          <w:sz w:val="20"/>
          <w:szCs w:val="20"/>
          <w:lang w:val="en-US"/>
        </w:rPr>
      </w:pPr>
      <w:r>
        <w:rPr>
          <w:rStyle w:val="5"/>
        </w:rPr>
        <w:footnoteRef/>
      </w:r>
      <w:r>
        <w:t xml:space="preserve"> </w:t>
      </w:r>
      <w:r>
        <w:rPr>
          <w:rFonts w:ascii="Times New Roman" w:hAnsi="Times New Roman" w:eastAsia="Times New Roman" w:cs="Times New Roman"/>
          <w:sz w:val="24"/>
          <w:szCs w:val="24"/>
          <w:lang w:val="en-US"/>
        </w:rPr>
        <w:t xml:space="preserve"> </w:t>
      </w:r>
      <w:r>
        <w:rPr>
          <w:rFonts w:ascii="Times New Roman" w:hAnsi="Times New Roman" w:eastAsia="Times New Roman" w:cs="Times New Roman"/>
          <w:i/>
          <w:iCs/>
          <w:sz w:val="20"/>
          <w:szCs w:val="20"/>
          <w:lang w:val="en-US"/>
        </w:rPr>
        <w:t>Green IP-for-Green Technology: A Much-Needed Interplay</w:t>
      </w:r>
      <w:r>
        <w:rPr>
          <w:rFonts w:ascii="Times New Roman" w:hAnsi="Times New Roman" w:eastAsia="Times New Roman" w:cs="Times New Roman"/>
          <w:sz w:val="20"/>
          <w:szCs w:val="20"/>
          <w:lang w:val="en-US"/>
        </w:rPr>
        <w:t xml:space="preserve"> (IJPIEL, 2022)</w:t>
      </w:r>
    </w:p>
    <w:p w14:paraId="18227CD6">
      <w:pPr>
        <w:pStyle w:val="6"/>
        <w:rPr>
          <w:lang w:val="en-US"/>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44FCC"/>
    <w:multiLevelType w:val="multilevel"/>
    <w:tmpl w:val="04444FC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0CED197F"/>
    <w:multiLevelType w:val="multilevel"/>
    <w:tmpl w:val="0CED197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12C8330A"/>
    <w:multiLevelType w:val="multilevel"/>
    <w:tmpl w:val="12C8330A"/>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1EB35D8B"/>
    <w:multiLevelType w:val="multilevel"/>
    <w:tmpl w:val="1EB35D8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4">
    <w:nsid w:val="4CCB4C08"/>
    <w:multiLevelType w:val="multilevel"/>
    <w:tmpl w:val="4CCB4C0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
    <w:nsid w:val="523A3A67"/>
    <w:multiLevelType w:val="multilevel"/>
    <w:tmpl w:val="523A3A6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6">
    <w:nsid w:val="61640CA4"/>
    <w:multiLevelType w:val="multilevel"/>
    <w:tmpl w:val="61640CA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7">
    <w:nsid w:val="70264373"/>
    <w:multiLevelType w:val="multilevel"/>
    <w:tmpl w:val="7026437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8">
    <w:nsid w:val="7D4D47BD"/>
    <w:multiLevelType w:val="multilevel"/>
    <w:tmpl w:val="7D4D47B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8"/>
  </w:num>
  <w:num w:numId="2">
    <w:abstractNumId w:val="0"/>
  </w:num>
  <w:num w:numId="3">
    <w:abstractNumId w:val="7"/>
  </w:num>
  <w:num w:numId="4">
    <w:abstractNumId w:val="6"/>
  </w:num>
  <w:num w:numId="5">
    <w:abstractNumId w:val="1"/>
  </w:num>
  <w:num w:numId="6">
    <w:abstractNumId w:val="5"/>
  </w:num>
  <w:num w:numId="7">
    <w:abstractNumId w:val="3"/>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documentProtection w:enforcement="0"/>
  <w:defaultTabStop w:val="720"/>
  <w:drawingGridHorizontalSpacing w:val="110"/>
  <w:displayHorizontalDrawingGridEvery w:val="2"/>
  <w:characterSpacingControl w:val="doNotCompress"/>
  <w:footnotePr>
    <w:footnote w:id="14"/>
    <w:footnote w:id="15"/>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E01"/>
    <w:rsid w:val="00205E01"/>
    <w:rsid w:val="00372390"/>
    <w:rsid w:val="003B0616"/>
    <w:rsid w:val="0066555D"/>
    <w:rsid w:val="009C73BE"/>
    <w:rsid w:val="00BC6A06"/>
    <w:rsid w:val="00DD7EBA"/>
    <w:rsid w:val="00F241A1"/>
    <w:rsid w:val="00F537B8"/>
    <w:rsid w:val="00F67104"/>
    <w:rsid w:val="7C36678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I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Emphasis"/>
    <w:basedOn w:val="2"/>
    <w:qFormat/>
    <w:uiPriority w:val="20"/>
    <w:rPr>
      <w:i/>
      <w:iCs/>
    </w:rPr>
  </w:style>
  <w:style w:type="character" w:styleId="5">
    <w:name w:val="footnote reference"/>
    <w:basedOn w:val="2"/>
    <w:semiHidden/>
    <w:unhideWhenUsed/>
    <w:uiPriority w:val="99"/>
    <w:rPr>
      <w:vertAlign w:val="superscript"/>
    </w:rPr>
  </w:style>
  <w:style w:type="paragraph" w:styleId="6">
    <w:name w:val="footnote text"/>
    <w:basedOn w:val="1"/>
    <w:link w:val="9"/>
    <w:semiHidden/>
    <w:unhideWhenUsed/>
    <w:uiPriority w:val="99"/>
    <w:pPr>
      <w:spacing w:after="0" w:line="240" w:lineRule="auto"/>
    </w:pPr>
    <w:rPr>
      <w:sz w:val="20"/>
      <w:szCs w:val="20"/>
    </w:rPr>
  </w:style>
  <w:style w:type="paragraph" w:styleId="7">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lang w:val="en-US"/>
    </w:rPr>
  </w:style>
  <w:style w:type="character" w:styleId="8">
    <w:name w:val="Strong"/>
    <w:basedOn w:val="2"/>
    <w:qFormat/>
    <w:uiPriority w:val="22"/>
    <w:rPr>
      <w:b/>
      <w:bCs/>
    </w:rPr>
  </w:style>
  <w:style w:type="character" w:customStyle="1" w:styleId="9">
    <w:name w:val="Footnote Text Char"/>
    <w:basedOn w:val="2"/>
    <w:link w:val="6"/>
    <w:semiHidden/>
    <w:uiPriority w:val="99"/>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BA39F-EA37-4C3B-AD5A-76C36C9FFD57}">
  <ds:schemaRefs/>
</ds:datastoreItem>
</file>

<file path=docProps/app.xml><?xml version="1.0" encoding="utf-8"?>
<Properties xmlns="http://schemas.openxmlformats.org/officeDocument/2006/extended-properties" xmlns:vt="http://schemas.openxmlformats.org/officeDocument/2006/docPropsVTypes">
  <Template>Normal</Template>
  <Pages>8</Pages>
  <Words>2818</Words>
  <Characters>16069</Characters>
  <Lines>133</Lines>
  <Paragraphs>37</Paragraphs>
  <TotalTime>43</TotalTime>
  <ScaleCrop>false</ScaleCrop>
  <LinksUpToDate>false</LinksUpToDate>
  <CharactersWithSpaces>18850</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2025-08-12T07:38:00Z</dcterms:created>
  <dc:creator>pc</dc:creator>
  <cp:lastModifiedBy>VIDYA SRINIVASAN</cp:lastModifiedBy>
  <dcterms:modified xsi:type="dcterms:W3CDTF">2025-11-23T12:01:32Z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1033-12.2.0.23155</vt:lpwstr>
  </property>
  <property fmtid="{D5CDD505-2E9C-101B-9397-08002B2CF9AE}" pid="3" name="ICV">
    <vt:lpwstr>EECA7947B6CF4251A3A62232007BA76A_12</vt:lpwstr>
  </property>
</Properties>
</file>