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23F210" w14:textId="77777777" w:rsidR="007824DE" w:rsidRDefault="004A6B8A">
      <w:pPr>
        <w:spacing w:after="25" w:line="259" w:lineRule="auto"/>
        <w:ind w:left="53" w:right="0" w:firstLine="0"/>
        <w:jc w:val="left"/>
      </w:pPr>
      <w:r>
        <w:rPr>
          <w:b/>
          <w:sz w:val="32"/>
        </w:rPr>
        <w:t xml:space="preserve">Performer’s Rights in Copyright Law: Evolution, Protection, and </w:t>
      </w:r>
    </w:p>
    <w:p w14:paraId="020A34E5" w14:textId="77777777" w:rsidR="007824DE" w:rsidRDefault="004A6B8A">
      <w:pPr>
        <w:spacing w:after="112" w:line="259" w:lineRule="auto"/>
        <w:ind w:left="0" w:right="9" w:firstLine="0"/>
        <w:jc w:val="center"/>
      </w:pPr>
      <w:r>
        <w:rPr>
          <w:b/>
          <w:sz w:val="32"/>
        </w:rPr>
        <w:t xml:space="preserve">Contemporary Challenges </w:t>
      </w:r>
    </w:p>
    <w:p w14:paraId="5C9BE9F1" w14:textId="77777777" w:rsidR="007824DE" w:rsidRDefault="004A6B8A">
      <w:pPr>
        <w:spacing w:after="170" w:line="267" w:lineRule="auto"/>
        <w:jc w:val="center"/>
      </w:pPr>
      <w:r>
        <w:rPr>
          <w:i/>
        </w:rPr>
        <w:t>By</w:t>
      </w:r>
      <w:r>
        <w:t xml:space="preserve"> </w:t>
      </w:r>
      <w:r>
        <w:rPr>
          <w:i/>
        </w:rPr>
        <w:t xml:space="preserve">Deepika verma* &amp; Rahul Singh** </w:t>
      </w:r>
    </w:p>
    <w:p w14:paraId="646A9798" w14:textId="77777777" w:rsidR="007824DE" w:rsidRDefault="004A6B8A">
      <w:pPr>
        <w:spacing w:after="170" w:line="267" w:lineRule="auto"/>
        <w:ind w:right="0"/>
        <w:jc w:val="center"/>
      </w:pPr>
      <w:r>
        <w:rPr>
          <w:i/>
        </w:rPr>
        <w:t>*</w:t>
      </w:r>
      <w:r>
        <w:rPr>
          <w:i/>
        </w:rPr>
        <w:t xml:space="preserve">LLM (Intellectual property law) student, School of Law, IMS Unison University, Dehradun, India </w:t>
      </w:r>
    </w:p>
    <w:p w14:paraId="68469947" w14:textId="77777777" w:rsidR="007824DE" w:rsidRDefault="004A6B8A">
      <w:pPr>
        <w:spacing w:after="210" w:line="267" w:lineRule="auto"/>
        <w:ind w:right="7"/>
        <w:jc w:val="center"/>
      </w:pPr>
      <w:r>
        <w:rPr>
          <w:i/>
        </w:rPr>
        <w:t xml:space="preserve">**Assistant professor at School of Law, IMS Unison University, Dehradun, India </w:t>
      </w:r>
    </w:p>
    <w:p w14:paraId="77732AAE" w14:textId="77777777" w:rsidR="007824DE" w:rsidRDefault="004A6B8A">
      <w:pPr>
        <w:spacing w:after="181" w:line="259" w:lineRule="auto"/>
        <w:ind w:left="64" w:right="0" w:firstLine="0"/>
        <w:jc w:val="center"/>
      </w:pPr>
      <w:r>
        <w:rPr>
          <w:b/>
          <w:sz w:val="28"/>
        </w:rPr>
        <w:t xml:space="preserve"> </w:t>
      </w:r>
    </w:p>
    <w:p w14:paraId="18395903" w14:textId="77777777" w:rsidR="007824DE" w:rsidRDefault="004A6B8A">
      <w:pPr>
        <w:pStyle w:val="Heading1"/>
        <w:ind w:left="-5"/>
      </w:pPr>
      <w:r>
        <w:t>ABSTRACT</w:t>
      </w:r>
      <w:r>
        <w:t xml:space="preserve"> </w:t>
      </w:r>
    </w:p>
    <w:p w14:paraId="6B188F0B" w14:textId="77777777" w:rsidR="007824DE" w:rsidRDefault="004A6B8A">
      <w:pPr>
        <w:spacing w:after="164"/>
        <w:ind w:left="-5" w:right="0"/>
      </w:pPr>
      <w:r>
        <w:t>Performers actors, musicians, dancers, and other artists play a central role in the creative economy. Yet, in the past, they did not have independent legal recognition, so often the work of these women became prey to unauthorized reproduction and exploitation. This article focuses on the development of the rights of performers in India against the backdrop of international treaties such as the Rome Convention, WPPT and Beijing Treaty on Audiovisual Performances. It discusses the statutory and moral rights g</w:t>
      </w:r>
      <w:r>
        <w:t>ranted by the Indian law and the judicial interpretations and the challenges that come with the digital age, social media piracy, AI-generated content, exploitation of contracts, etc. The article ends with policy recommendations on how to better protect the rights of performers, ensure fair remuneration and balance between rights and public access.</w:t>
      </w:r>
      <w:r>
        <w:t xml:space="preserve"> </w:t>
      </w:r>
    </w:p>
    <w:p w14:paraId="283499BA" w14:textId="77777777" w:rsidR="007824DE" w:rsidRDefault="004A6B8A">
      <w:pPr>
        <w:spacing w:after="10"/>
        <w:ind w:left="-5" w:right="0"/>
      </w:pPr>
      <w:r>
        <w:rPr>
          <w:b/>
          <w:i/>
        </w:rPr>
        <w:t xml:space="preserve">Keywords: </w:t>
      </w:r>
      <w:r>
        <w:t xml:space="preserve">Performers’ Rights, Neighbouring Rights, Copyright Act 1957, Moral and </w:t>
      </w:r>
    </w:p>
    <w:p w14:paraId="04FA2A4C" w14:textId="77777777" w:rsidR="007824DE" w:rsidRDefault="004A6B8A">
      <w:pPr>
        <w:spacing w:after="166"/>
        <w:ind w:left="-5" w:right="0"/>
      </w:pPr>
      <w:r>
        <w:t>Economic Rights, International Treaties (WPPT &amp; Beijing Treaty), Digital Infringement</w:t>
      </w:r>
      <w:r>
        <w:t xml:space="preserve"> </w:t>
      </w:r>
    </w:p>
    <w:p w14:paraId="0C356228" w14:textId="77777777" w:rsidR="007824DE" w:rsidRDefault="004A6B8A">
      <w:pPr>
        <w:spacing w:after="218" w:line="259" w:lineRule="auto"/>
        <w:ind w:left="0" w:right="0" w:firstLine="0"/>
        <w:jc w:val="left"/>
      </w:pPr>
      <w:r>
        <w:t xml:space="preserve"> </w:t>
      </w:r>
    </w:p>
    <w:p w14:paraId="77034303" w14:textId="77777777" w:rsidR="007824DE" w:rsidRDefault="004A6B8A">
      <w:pPr>
        <w:pStyle w:val="Heading1"/>
        <w:ind w:left="-5"/>
      </w:pPr>
      <w:r>
        <w:t>1. INTRODUCTION</w:t>
      </w:r>
      <w:r>
        <w:t xml:space="preserve"> </w:t>
      </w:r>
    </w:p>
    <w:p w14:paraId="532EC9EB" w14:textId="77777777" w:rsidR="007824DE" w:rsidRDefault="004A6B8A">
      <w:pPr>
        <w:spacing w:after="542"/>
        <w:ind w:left="-5" w:right="0"/>
      </w:pPr>
      <w:r>
        <w:t>Performers bring creative works to life for audiences by adding voice, movement or expression to the work that goes beyond the original work of the author. In India, there are performers who perform the role of actors, singers, dancers, musicians, narrators, lecturers, etc.</w:t>
      </w:r>
      <w:r>
        <w:rPr>
          <w:vertAlign w:val="superscript"/>
        </w:rPr>
        <w:footnoteReference w:id="1"/>
      </w:r>
      <w:r>
        <w:t xml:space="preserve"> Their performances are frequently recorded, broadcasted, streamed, or otherwise reproduced for commercial and public consumption. Historically, these people have had little legal control over their work, and producers, broadcasters, and intermediaries have dominated the exploitation chain.</w:t>
      </w:r>
      <w:r>
        <w:rPr>
          <w:vertAlign w:val="superscript"/>
        </w:rPr>
        <w:footnoteReference w:id="2"/>
      </w:r>
      <w:r>
        <w:t xml:space="preserve"> </w:t>
      </w:r>
    </w:p>
    <w:p w14:paraId="45051191" w14:textId="77777777" w:rsidR="007824DE" w:rsidRDefault="004A6B8A">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14:anchorId="0ADB9A83" wp14:editId="25C33B4E">
                <wp:extent cx="1829054" cy="7620"/>
                <wp:effectExtent l="0" t="0" r="0" b="0"/>
                <wp:docPr id="9917" name="Group 9917"/>
                <wp:cNvGraphicFramePr/>
                <a:graphic xmlns:a="http://schemas.openxmlformats.org/drawingml/2006/main">
                  <a:graphicData uri="http://schemas.microsoft.com/office/word/2010/wordprocessingGroup">
                    <wpg:wgp>
                      <wpg:cNvGrpSpPr/>
                      <wpg:grpSpPr>
                        <a:xfrm>
                          <a:off x="0" y="0"/>
                          <a:ext cx="1829054" cy="7620"/>
                          <a:chOff x="0" y="0"/>
                          <a:chExt cx="1829054" cy="7620"/>
                        </a:xfrm>
                      </wpg:grpSpPr>
                      <wps:wsp>
                        <wps:cNvPr id="11632" name="Shape 11632"/>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9917" style="width:144.02pt;height:0.600037pt;mso-position-horizontal-relative:char;mso-position-vertical-relative:line" coordsize="18290,76">
                <v:shape id="Shape 11633"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Aptos" w:eastAsia="Aptos" w:hAnsi="Aptos" w:cs="Aptos"/>
        </w:rPr>
        <w:t xml:space="preserve"> </w:t>
      </w:r>
    </w:p>
    <w:p w14:paraId="6E7FAF4E" w14:textId="77777777" w:rsidR="007824DE" w:rsidRDefault="004A6B8A">
      <w:pPr>
        <w:spacing w:after="163"/>
        <w:ind w:left="-5" w:right="0"/>
      </w:pPr>
      <w:r>
        <w:t>The Indian Copyright Act, 1957, did not initially protect the rights of performers and the main focus was on the rights of authors.</w:t>
      </w:r>
      <w:r>
        <w:rPr>
          <w:vertAlign w:val="superscript"/>
        </w:rPr>
        <w:footnoteReference w:id="3"/>
      </w:r>
      <w:r>
        <w:t xml:space="preserve"> As the norms around the world changed through the various international treaties, the Indian Copyright Act was modified in 1994 and 2012 to provide an all-round protection to performers.</w:t>
      </w:r>
      <w:r>
        <w:rPr>
          <w:vertAlign w:val="superscript"/>
        </w:rPr>
        <w:footnoteReference w:id="4"/>
      </w:r>
      <w:r>
        <w:t xml:space="preserve"> The amendments of this law provided for economic rights, moral rights and digital communication rights, bringing India on a par with international norms.</w:t>
      </w:r>
      <w:r>
        <w:t xml:space="preserve"> </w:t>
      </w:r>
    </w:p>
    <w:p w14:paraId="3375360D" w14:textId="77777777" w:rsidR="007824DE" w:rsidRDefault="004A6B8A">
      <w:pPr>
        <w:ind w:left="-5" w:right="0"/>
      </w:pPr>
      <w:r>
        <w:t>This article aims to examine:</w:t>
      </w:r>
      <w:r>
        <w:t xml:space="preserve"> </w:t>
      </w:r>
    </w:p>
    <w:p w14:paraId="32A76E29" w14:textId="77777777" w:rsidR="007824DE" w:rsidRDefault="004A6B8A">
      <w:pPr>
        <w:numPr>
          <w:ilvl w:val="0"/>
          <w:numId w:val="1"/>
        </w:numPr>
        <w:spacing w:after="0"/>
        <w:ind w:right="0" w:hanging="360"/>
      </w:pPr>
      <w:r>
        <w:t>The conceptual and legal basis of performers' rights;</w:t>
      </w:r>
      <w:r>
        <w:t xml:space="preserve"> </w:t>
      </w:r>
    </w:p>
    <w:p w14:paraId="5C39E1C6" w14:textId="77777777" w:rsidR="007824DE" w:rsidRDefault="004A6B8A">
      <w:pPr>
        <w:numPr>
          <w:ilvl w:val="0"/>
          <w:numId w:val="1"/>
        </w:numPr>
        <w:spacing w:after="0"/>
        <w:ind w:right="0" w:hanging="360"/>
      </w:pPr>
      <w:r>
        <w:t>Historical evolution and legislative reforms in India;</w:t>
      </w:r>
      <w:r>
        <w:t xml:space="preserve"> </w:t>
      </w:r>
    </w:p>
    <w:p w14:paraId="339762B0" w14:textId="77777777" w:rsidR="007824DE" w:rsidRDefault="004A6B8A">
      <w:pPr>
        <w:numPr>
          <w:ilvl w:val="0"/>
          <w:numId w:val="1"/>
        </w:numPr>
        <w:spacing w:after="0"/>
        <w:ind w:right="0" w:hanging="360"/>
      </w:pPr>
      <w:r>
        <w:t>Economic and moral rights under the statute;</w:t>
      </w:r>
      <w:r>
        <w:t xml:space="preserve"> </w:t>
      </w:r>
    </w:p>
    <w:p w14:paraId="51B1DA25" w14:textId="77777777" w:rsidR="007824DE" w:rsidRDefault="004A6B8A">
      <w:pPr>
        <w:numPr>
          <w:ilvl w:val="0"/>
          <w:numId w:val="1"/>
        </w:numPr>
        <w:spacing w:after="0"/>
        <w:ind w:right="0" w:hanging="360"/>
      </w:pPr>
      <w:r>
        <w:t>Infringement cases, digital age issues, and court rulings;</w:t>
      </w:r>
      <w:r>
        <w:t xml:space="preserve"> </w:t>
      </w:r>
    </w:p>
    <w:p w14:paraId="2F0A9FF9" w14:textId="77777777" w:rsidR="007824DE" w:rsidRDefault="004A6B8A">
      <w:pPr>
        <w:numPr>
          <w:ilvl w:val="0"/>
          <w:numId w:val="1"/>
        </w:numPr>
        <w:spacing w:after="122"/>
        <w:ind w:right="0" w:hanging="360"/>
      </w:pPr>
      <w:r>
        <w:t>Recommendations for Reform and Increased Protection.</w:t>
      </w:r>
      <w:r>
        <w:t xml:space="preserve"> </w:t>
      </w:r>
    </w:p>
    <w:p w14:paraId="45A7E7D4" w14:textId="77777777" w:rsidR="007824DE" w:rsidRDefault="004A6B8A">
      <w:pPr>
        <w:spacing w:after="199" w:line="275" w:lineRule="auto"/>
        <w:ind w:left="0" w:right="0" w:firstLine="0"/>
        <w:jc w:val="left"/>
      </w:pPr>
      <w:r>
        <w:t xml:space="preserve">By placing the rights of performers within the domestic and international context, this paper highlights the importance of the rights of performers in maintaining the cultural and creative economy. </w:t>
      </w:r>
      <w:r>
        <w:t xml:space="preserve"> </w:t>
      </w:r>
    </w:p>
    <w:p w14:paraId="557577B9" w14:textId="77777777" w:rsidR="007824DE" w:rsidRDefault="004A6B8A">
      <w:pPr>
        <w:pStyle w:val="Heading1"/>
        <w:ind w:left="-5"/>
      </w:pPr>
      <w:r>
        <w:t>2.  CONCEPTUAL UNDERPINNINGS OF PERFORMERS' RIGHTS</w:t>
      </w:r>
      <w:r>
        <w:t xml:space="preserve"> </w:t>
      </w:r>
    </w:p>
    <w:p w14:paraId="167EC788" w14:textId="77777777" w:rsidR="007824DE" w:rsidRDefault="004A6B8A">
      <w:pPr>
        <w:pStyle w:val="Heading2"/>
        <w:ind w:left="-5"/>
      </w:pPr>
      <w:r>
        <w:t>2.1 Definition and Scope</w:t>
      </w:r>
      <w:r>
        <w:t xml:space="preserve"> </w:t>
      </w:r>
    </w:p>
    <w:p w14:paraId="18B95F49" w14:textId="77777777" w:rsidR="007824DE" w:rsidRDefault="004A6B8A">
      <w:pPr>
        <w:ind w:left="-5" w:right="0"/>
      </w:pPr>
      <w:r>
        <w:t>A performer under the Indian law is defined as an individual who acts, sings, dances, plays instruments, lectures or otherwise makes a performance.</w:t>
      </w:r>
      <w:r>
        <w:rPr>
          <w:vertAlign w:val="superscript"/>
        </w:rPr>
        <w:t>5</w:t>
      </w:r>
      <w:r>
        <w:t xml:space="preserve"> This definition is made deliberately broad to include folk, classical and contemporary forms of expression. Modern performances, such as studio recordings, online streaming and presentation on social media, are also within this ambit.</w:t>
      </w:r>
      <w:r>
        <w:rPr>
          <w:vertAlign w:val="superscript"/>
        </w:rPr>
        <w:footnoteReference w:id="5"/>
      </w:r>
      <w:r>
        <w:t xml:space="preserve"> </w:t>
      </w:r>
    </w:p>
    <w:p w14:paraId="1A8933D0" w14:textId="77777777" w:rsidR="007824DE" w:rsidRDefault="004A6B8A">
      <w:pPr>
        <w:pStyle w:val="Heading2"/>
        <w:ind w:left="-5"/>
      </w:pPr>
      <w:r>
        <w:t>2.2 Rationale for Protection</w:t>
      </w:r>
      <w:r>
        <w:t xml:space="preserve"> </w:t>
      </w:r>
    </w:p>
    <w:p w14:paraId="1C956032" w14:textId="77777777" w:rsidR="007824DE" w:rsidRDefault="004A6B8A">
      <w:pPr>
        <w:spacing w:after="165"/>
        <w:ind w:left="-5" w:right="0"/>
      </w:pPr>
      <w:r>
        <w:t>Economic Value: Performances are a source of revenue in the form of concerts, recordings, television and streaming platforms. The protection of economic rights means that performers will be able to negotiate for fair remuneration.</w:t>
      </w:r>
      <w:r>
        <w:t xml:space="preserve"> </w:t>
      </w:r>
    </w:p>
    <w:p w14:paraId="29982965" w14:textId="77777777" w:rsidR="007824DE" w:rsidRDefault="004A6B8A">
      <w:pPr>
        <w:spacing w:after="1109"/>
        <w:ind w:left="-5" w:right="0"/>
      </w:pPr>
      <w:r>
        <w:t>Moral/Personality Rights: A performance is an extension of artistic personality. Distortion or misuse can be harmful to reputation and creative integrity.</w:t>
      </w:r>
      <w:r>
        <w:t xml:space="preserve"> </w:t>
      </w:r>
    </w:p>
    <w:p w14:paraId="4D78C941" w14:textId="77777777" w:rsidR="007824DE" w:rsidRDefault="004A6B8A">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14:anchorId="4DC6DD27" wp14:editId="611EF563">
                <wp:extent cx="1829054" cy="7620"/>
                <wp:effectExtent l="0" t="0" r="0" b="0"/>
                <wp:docPr id="9753" name="Group 9753"/>
                <wp:cNvGraphicFramePr/>
                <a:graphic xmlns:a="http://schemas.openxmlformats.org/drawingml/2006/main">
                  <a:graphicData uri="http://schemas.microsoft.com/office/word/2010/wordprocessingGroup">
                    <wpg:wgp>
                      <wpg:cNvGrpSpPr/>
                      <wpg:grpSpPr>
                        <a:xfrm>
                          <a:off x="0" y="0"/>
                          <a:ext cx="1829054" cy="7620"/>
                          <a:chOff x="0" y="0"/>
                          <a:chExt cx="1829054" cy="7620"/>
                        </a:xfrm>
                      </wpg:grpSpPr>
                      <wps:wsp>
                        <wps:cNvPr id="11634" name="Shape 11634"/>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9753" style="width:144.02pt;height:0.599976pt;mso-position-horizontal-relative:char;mso-position-vertical-relative:line" coordsize="18290,76">
                <v:shape id="Shape 11635"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Aptos" w:eastAsia="Aptos" w:hAnsi="Aptos" w:cs="Aptos"/>
        </w:rPr>
        <w:t xml:space="preserve"> </w:t>
      </w:r>
    </w:p>
    <w:p w14:paraId="2DCD99FB" w14:textId="77777777" w:rsidR="007824DE" w:rsidRDefault="004A6B8A">
      <w:pPr>
        <w:ind w:left="-5" w:right="0"/>
      </w:pPr>
      <w:r>
        <w:t>Cultural Significance: The protection of performers fosters the preservation of artistic heritage and the ongoing production of creative work.</w:t>
      </w:r>
      <w:r>
        <w:rPr>
          <w:vertAlign w:val="superscript"/>
        </w:rPr>
        <w:t>7</w:t>
      </w:r>
      <w:r>
        <w:t xml:space="preserve"> </w:t>
      </w:r>
    </w:p>
    <w:p w14:paraId="43990415" w14:textId="77777777" w:rsidR="007824DE" w:rsidRDefault="004A6B8A">
      <w:pPr>
        <w:pStyle w:val="Heading2"/>
        <w:ind w:left="-5"/>
      </w:pPr>
      <w:r>
        <w:t>2.3 Performers Rights as Neighbour Rights</w:t>
      </w:r>
      <w:r>
        <w:t xml:space="preserve"> </w:t>
      </w:r>
    </w:p>
    <w:p w14:paraId="603E618F" w14:textId="77777777" w:rsidR="007824DE" w:rsidRDefault="004A6B8A">
      <w:pPr>
        <w:ind w:left="-5" w:right="0"/>
      </w:pPr>
      <w:r>
        <w:t>Performers' rights are considered to be a category of neighbouring rights, separate from copyright but closely related.</w:t>
      </w:r>
      <w:r>
        <w:rPr>
          <w:vertAlign w:val="superscript"/>
        </w:rPr>
        <w:t>8</w:t>
      </w:r>
      <w:r>
        <w:t xml:space="preserve"> Authors are the creators of works, while performers are the interpreters and executors of those works. International treaties - the Rome Convention (1961), WPPT (1996), and Beijing Treaty on Audiovisual Performances (2012) - recognise performers as independent rights-holders.</w:t>
      </w:r>
      <w:r>
        <w:rPr>
          <w:vertAlign w:val="superscript"/>
        </w:rPr>
        <w:t>9</w:t>
      </w:r>
      <w:r>
        <w:t xml:space="preserve"> These treaties influenced India's statutory reforms.</w:t>
      </w:r>
      <w:r>
        <w:t xml:space="preserve"> </w:t>
      </w:r>
    </w:p>
    <w:p w14:paraId="5431932C" w14:textId="77777777" w:rsidR="007824DE" w:rsidRDefault="004A6B8A">
      <w:pPr>
        <w:pStyle w:val="Heading1"/>
        <w:ind w:left="-5"/>
      </w:pPr>
      <w:r>
        <w:t>3. HISTORICAL DEVELOPMENT OF PERFORMERS RIGHT IN INDIA</w:t>
      </w:r>
      <w:r>
        <w:t xml:space="preserve"> </w:t>
      </w:r>
    </w:p>
    <w:p w14:paraId="0CE7F23A" w14:textId="77777777" w:rsidR="007824DE" w:rsidRDefault="004A6B8A">
      <w:pPr>
        <w:pStyle w:val="Heading2"/>
        <w:ind w:left="-5"/>
      </w:pPr>
      <w:r>
        <w:t>3.1 Pre-1994 Scenario</w:t>
      </w:r>
      <w:r>
        <w:t xml:space="preserve"> </w:t>
      </w:r>
    </w:p>
    <w:p w14:paraId="39445C7C" w14:textId="77777777" w:rsidR="007824DE" w:rsidRDefault="004A6B8A">
      <w:pPr>
        <w:spacing w:after="164"/>
        <w:ind w:left="-5" w:right="0"/>
      </w:pPr>
      <w:r>
        <w:t>Before 1994, Indian law did not give statutory recognition to the performers. Courts always held that performers lacked the right to assert their rights over a work unless they were authors.</w:t>
      </w:r>
      <w:r>
        <w:rPr>
          <w:vertAlign w:val="superscript"/>
        </w:rPr>
        <w:footnoteReference w:id="6"/>
      </w:r>
      <w:r>
        <w:t xml:space="preserve"> This left live performances, recordings, and broadcasts open to exploitation. Unauthorised reproduction, piracy and re-broadcasting were rampant, often leaving performers without remuneration and credit.</w:t>
      </w:r>
      <w:r>
        <w:t xml:space="preserve"> </w:t>
      </w:r>
    </w:p>
    <w:p w14:paraId="0E9CCA7B" w14:textId="77777777" w:rsidR="007824DE" w:rsidRDefault="004A6B8A">
      <w:pPr>
        <w:pStyle w:val="Heading2"/>
        <w:ind w:left="-5"/>
      </w:pPr>
      <w:r>
        <w:t>3.2 Global Influence</w:t>
      </w:r>
      <w:r>
        <w:t xml:space="preserve"> </w:t>
      </w:r>
    </w:p>
    <w:p w14:paraId="30108476" w14:textId="77777777" w:rsidR="007824DE" w:rsidRDefault="004A6B8A">
      <w:pPr>
        <w:ind w:left="-5" w:right="0"/>
      </w:pPr>
      <w:r>
        <w:t>International treaties and conventions influenced the legal development in India. Participation in the Rome Convention (1961) and the adherence to the WIPO treaties (1996) helped to put pressure to recognize the rights of performers at the domestic level.</w:t>
      </w:r>
      <w:r>
        <w:rPr>
          <w:vertAlign w:val="superscript"/>
        </w:rPr>
        <w:footnoteReference w:id="7"/>
      </w:r>
      <w:r>
        <w:t xml:space="preserve"> </w:t>
      </w:r>
    </w:p>
    <w:p w14:paraId="04B66A0E" w14:textId="77777777" w:rsidR="007824DE" w:rsidRDefault="004A6B8A">
      <w:pPr>
        <w:pStyle w:val="Heading2"/>
        <w:ind w:left="-5"/>
      </w:pPr>
      <w:r>
        <w:t>3.3 1994 Amendment</w:t>
      </w:r>
      <w:r>
        <w:t xml:space="preserve"> </w:t>
      </w:r>
    </w:p>
    <w:p w14:paraId="650F3DA0" w14:textId="77777777" w:rsidR="007824DE" w:rsidRDefault="004A6B8A">
      <w:pPr>
        <w:spacing w:after="160"/>
        <w:ind w:left="-5" w:right="0"/>
      </w:pPr>
      <w:r>
        <w:t>The Copyright (Amendment) Act, 1994 brought in the initial performers' rights such as the right to prevent unauthorised fixation and broadcast.</w:t>
      </w:r>
      <w:r>
        <w:rPr>
          <w:vertAlign w:val="superscript"/>
        </w:rPr>
        <w:footnoteReference w:id="8"/>
      </w:r>
      <w:r>
        <w:t xml:space="preserve"> However, these rights were limited and did not cover reproduction and distribution or the emerging digital platforms adequately.</w:t>
      </w:r>
      <w:r>
        <w:t xml:space="preserve"> </w:t>
      </w:r>
    </w:p>
    <w:p w14:paraId="14BC1937" w14:textId="77777777" w:rsidR="007824DE" w:rsidRDefault="004A6B8A">
      <w:pPr>
        <w:pStyle w:val="Heading2"/>
        <w:ind w:left="-5"/>
      </w:pPr>
      <w:r>
        <w:t>3.4 2012 Amendment</w:t>
      </w:r>
      <w:r>
        <w:t xml:space="preserve"> </w:t>
      </w:r>
    </w:p>
    <w:p w14:paraId="0F2010A6" w14:textId="77777777" w:rsidR="007824DE" w:rsidRDefault="004A6B8A">
      <w:pPr>
        <w:ind w:left="-5" w:right="0"/>
      </w:pPr>
      <w:r>
        <w:t>The 2012 Amendment added more protections, giving:</w:t>
      </w:r>
      <w:r>
        <w:t xml:space="preserve"> </w:t>
      </w:r>
    </w:p>
    <w:p w14:paraId="5C2B7696" w14:textId="77777777" w:rsidR="007824DE" w:rsidRDefault="004A6B8A">
      <w:pPr>
        <w:spacing w:after="60"/>
        <w:ind w:left="370" w:right="0"/>
      </w:pPr>
      <w:r>
        <w:rPr>
          <w:rFonts w:ascii="Segoe UI Symbol" w:eastAsia="Segoe UI Symbol" w:hAnsi="Segoe UI Symbol" w:cs="Segoe UI Symbol"/>
        </w:rPr>
        <w:t>•</w:t>
      </w:r>
      <w:r>
        <w:rPr>
          <w:rFonts w:ascii="Arial" w:eastAsia="Arial" w:hAnsi="Arial" w:cs="Arial"/>
        </w:rPr>
        <w:t xml:space="preserve"> </w:t>
      </w:r>
      <w:r>
        <w:t>Exclusive economic rights,</w:t>
      </w:r>
      <w:r>
        <w:t xml:space="preserve"> </w:t>
      </w:r>
    </w:p>
    <w:p w14:paraId="0A7140DF" w14:textId="77777777" w:rsidR="007824DE" w:rsidRDefault="004A6B8A">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14:anchorId="7BB8B718" wp14:editId="785515A4">
                <wp:extent cx="1829054" cy="7620"/>
                <wp:effectExtent l="0" t="0" r="0" b="0"/>
                <wp:docPr id="11086" name="Group 11086"/>
                <wp:cNvGraphicFramePr/>
                <a:graphic xmlns:a="http://schemas.openxmlformats.org/drawingml/2006/main">
                  <a:graphicData uri="http://schemas.microsoft.com/office/word/2010/wordprocessingGroup">
                    <wpg:wgp>
                      <wpg:cNvGrpSpPr/>
                      <wpg:grpSpPr>
                        <a:xfrm>
                          <a:off x="0" y="0"/>
                          <a:ext cx="1829054" cy="7620"/>
                          <a:chOff x="0" y="0"/>
                          <a:chExt cx="1829054" cy="7620"/>
                        </a:xfrm>
                      </wpg:grpSpPr>
                      <wps:wsp>
                        <wps:cNvPr id="11636" name="Shape 11636"/>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086" style="width:144.02pt;height:0.599976pt;mso-position-horizontal-relative:char;mso-position-vertical-relative:line" coordsize="18290,76">
                <v:shape id="Shape 11637"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Aptos" w:eastAsia="Aptos" w:hAnsi="Aptos" w:cs="Aptos"/>
        </w:rPr>
        <w:t xml:space="preserve"> </w:t>
      </w:r>
    </w:p>
    <w:p w14:paraId="35D25F76" w14:textId="77777777" w:rsidR="007824DE" w:rsidRDefault="004A6B8A">
      <w:pPr>
        <w:numPr>
          <w:ilvl w:val="0"/>
          <w:numId w:val="2"/>
        </w:numPr>
        <w:spacing w:after="225"/>
        <w:ind w:right="0" w:hanging="142"/>
      </w:pPr>
      <w:r>
        <w:t>Ibid.</w:t>
      </w:r>
      <w:r>
        <w:t xml:space="preserve"> </w:t>
      </w:r>
    </w:p>
    <w:p w14:paraId="62A51166" w14:textId="77777777" w:rsidR="007824DE" w:rsidRDefault="004A6B8A">
      <w:pPr>
        <w:numPr>
          <w:ilvl w:val="0"/>
          <w:numId w:val="2"/>
        </w:numPr>
        <w:ind w:right="0" w:hanging="142"/>
      </w:pPr>
      <w:r>
        <w:t xml:space="preserve">Bainbridge, David, </w:t>
      </w:r>
      <w:r>
        <w:rPr>
          <w:i/>
        </w:rPr>
        <w:t>Intellectual Property</w:t>
      </w:r>
      <w:r>
        <w:t>, Pearson.</w:t>
      </w:r>
      <w:r>
        <w:t xml:space="preserve"> </w:t>
      </w:r>
    </w:p>
    <w:p w14:paraId="71996698" w14:textId="77777777" w:rsidR="007824DE" w:rsidRDefault="004A6B8A">
      <w:pPr>
        <w:numPr>
          <w:ilvl w:val="0"/>
          <w:numId w:val="2"/>
        </w:numPr>
        <w:ind w:right="0" w:hanging="142"/>
      </w:pPr>
      <w:r>
        <w:t>Rome Convention for the Protection of Performers, Producers of Phonograms and Broadcasting Organisations, 1961.</w:t>
      </w:r>
      <w:r>
        <w:t xml:space="preserve"> </w:t>
      </w:r>
    </w:p>
    <w:p w14:paraId="2501CEAE" w14:textId="77777777" w:rsidR="007824DE" w:rsidRDefault="004A6B8A">
      <w:pPr>
        <w:numPr>
          <w:ilvl w:val="1"/>
          <w:numId w:val="2"/>
        </w:numPr>
        <w:spacing w:after="0"/>
        <w:ind w:right="0" w:hanging="360"/>
      </w:pPr>
      <w:r>
        <w:t>Moral rights,</w:t>
      </w:r>
      <w:r>
        <w:t xml:space="preserve"> </w:t>
      </w:r>
    </w:p>
    <w:p w14:paraId="5162AD9F" w14:textId="77777777" w:rsidR="007824DE" w:rsidRDefault="004A6B8A">
      <w:pPr>
        <w:numPr>
          <w:ilvl w:val="1"/>
          <w:numId w:val="2"/>
        </w:numPr>
        <w:spacing w:after="0"/>
        <w:ind w:right="0" w:hanging="360"/>
      </w:pPr>
      <w:r>
        <w:t>Digital communication and broadcasting rights,</w:t>
      </w:r>
      <w:r>
        <w:t xml:space="preserve"> </w:t>
      </w:r>
    </w:p>
    <w:p w14:paraId="51AB8062" w14:textId="77777777" w:rsidR="007824DE" w:rsidRDefault="004A6B8A">
      <w:pPr>
        <w:numPr>
          <w:ilvl w:val="1"/>
          <w:numId w:val="2"/>
        </w:numPr>
        <w:spacing w:after="147"/>
        <w:ind w:right="0" w:hanging="360"/>
      </w:pPr>
      <w:r>
        <w:t>Royalty entitlements.</w:t>
      </w:r>
      <w:r>
        <w:rPr>
          <w:vertAlign w:val="superscript"/>
        </w:rPr>
        <w:footnoteReference w:id="9"/>
      </w:r>
      <w:r>
        <w:t xml:space="preserve"> </w:t>
      </w:r>
    </w:p>
    <w:p w14:paraId="3B68FE5A" w14:textId="77777777" w:rsidR="007824DE" w:rsidRDefault="004A6B8A">
      <w:pPr>
        <w:ind w:left="-5" w:right="0"/>
      </w:pPr>
      <w:r>
        <w:t>This amendment brought India in line with the international norms including the Beijing Treaty, and covered gaps that technological advancements had revealed.</w:t>
      </w:r>
      <w:r>
        <w:t xml:space="preserve"> </w:t>
      </w:r>
    </w:p>
    <w:p w14:paraId="45F298DD" w14:textId="77777777" w:rsidR="007824DE" w:rsidRDefault="004A6B8A">
      <w:pPr>
        <w:pStyle w:val="Heading1"/>
        <w:ind w:left="-5"/>
      </w:pPr>
      <w:r>
        <w:t>4. STATUTORY RIGHTS OF PERFORMERS</w:t>
      </w:r>
      <w:r>
        <w:t xml:space="preserve"> </w:t>
      </w:r>
    </w:p>
    <w:p w14:paraId="06DF2BC8" w14:textId="77777777" w:rsidR="007824DE" w:rsidRDefault="004A6B8A">
      <w:pPr>
        <w:spacing w:after="165"/>
        <w:ind w:left="-5" w:right="0"/>
      </w:pPr>
      <w:r>
        <w:t>Performers have economic rights as well as moral rights, which are the rights to their financial and personal interests.</w:t>
      </w:r>
      <w:r>
        <w:t xml:space="preserve"> </w:t>
      </w:r>
    </w:p>
    <w:p w14:paraId="3A9F54CC" w14:textId="77777777" w:rsidR="007824DE" w:rsidRDefault="004A6B8A">
      <w:pPr>
        <w:pStyle w:val="Heading2"/>
        <w:ind w:left="-5"/>
      </w:pPr>
      <w:r>
        <w:t>4.1 Economic Rights</w:t>
      </w:r>
      <w:r>
        <w:t xml:space="preserve"> </w:t>
      </w:r>
    </w:p>
    <w:p w14:paraId="0D84F858" w14:textId="77777777" w:rsidR="007824DE" w:rsidRDefault="004A6B8A">
      <w:pPr>
        <w:spacing w:after="164"/>
        <w:ind w:left="-5" w:right="0"/>
      </w:pPr>
      <w:r>
        <w:rPr>
          <w:b/>
        </w:rPr>
        <w:t>Fixation Rights:</w:t>
      </w:r>
      <w:r>
        <w:t xml:space="preserve"> Performers can give their permission or not give their permission to record live performances. Unauthorised recording is an infringement.</w:t>
      </w:r>
      <w:r>
        <w:rPr>
          <w:vertAlign w:val="superscript"/>
        </w:rPr>
        <w:footnoteReference w:id="10"/>
      </w:r>
      <w:r>
        <w:t xml:space="preserve"> For example, a live concert cannot be recorded by an attendee and distributed online without permission.</w:t>
      </w:r>
      <w:r>
        <w:t xml:space="preserve"> </w:t>
      </w:r>
    </w:p>
    <w:p w14:paraId="41380077" w14:textId="77777777" w:rsidR="007824DE" w:rsidRDefault="004A6B8A">
      <w:pPr>
        <w:ind w:left="-5" w:right="0"/>
      </w:pPr>
      <w:r>
        <w:rPr>
          <w:b/>
        </w:rPr>
        <w:t>Reproduction Rights:</w:t>
      </w:r>
      <w:r>
        <w:t xml:space="preserve"> Even after lawful fixation, performers have control over reproduction of the performance in any format: CDs, DVDs or digital streaming.</w:t>
      </w:r>
      <w:r>
        <w:rPr>
          <w:vertAlign w:val="superscript"/>
        </w:rPr>
        <w:footnoteReference w:id="11"/>
      </w:r>
      <w:r>
        <w:t xml:space="preserve"> </w:t>
      </w:r>
    </w:p>
    <w:p w14:paraId="1C76AD6C" w14:textId="77777777" w:rsidR="007824DE" w:rsidRDefault="004A6B8A">
      <w:pPr>
        <w:ind w:left="-5" w:right="0"/>
      </w:pPr>
      <w:r>
        <w:rPr>
          <w:b/>
        </w:rPr>
        <w:t>Distribution Rights:</w:t>
      </w:r>
      <w:r>
        <w:t xml:space="preserve"> Performers are in charge of the distribution of the performances. Unauthorized commercial circulation (selling bootleg recordings, for example) violates these rights.</w:t>
      </w:r>
      <w:r>
        <w:rPr>
          <w:vertAlign w:val="superscript"/>
        </w:rPr>
        <w:footnoteReference w:id="12"/>
      </w:r>
      <w:r>
        <w:t xml:space="preserve"> </w:t>
      </w:r>
    </w:p>
    <w:p w14:paraId="0FE7DA0F" w14:textId="77777777" w:rsidR="007824DE" w:rsidRDefault="004A6B8A">
      <w:pPr>
        <w:ind w:left="-5" w:right="0"/>
      </w:pPr>
      <w:r>
        <w:rPr>
          <w:b/>
        </w:rPr>
        <w:t>Rental and Lending Rights:</w:t>
      </w:r>
      <w:r>
        <w:t xml:space="preserve"> </w:t>
      </w:r>
      <w:r>
        <w:t>These rights provide for the performers to receive payment when their recordings are rented or lent commercially, such as by music stores or libraries.</w:t>
      </w:r>
      <w:r>
        <w:rPr>
          <w:vertAlign w:val="superscript"/>
        </w:rPr>
        <w:footnoteReference w:id="13"/>
      </w:r>
      <w:r>
        <w:t xml:space="preserve"> </w:t>
      </w:r>
    </w:p>
    <w:p w14:paraId="4CA53269" w14:textId="77777777" w:rsidR="007824DE" w:rsidRDefault="004A6B8A">
      <w:pPr>
        <w:ind w:left="-5" w:right="0"/>
      </w:pPr>
      <w:r>
        <w:rPr>
          <w:b/>
        </w:rPr>
        <w:t xml:space="preserve">Broadcasting and Communication Rights: </w:t>
      </w:r>
      <w:r>
        <w:t>Performers have control of the transmission via television, radio, satellite or online streaming platforms.</w:t>
      </w:r>
      <w:r>
        <w:rPr>
          <w:vertAlign w:val="superscript"/>
        </w:rPr>
        <w:footnoteReference w:id="14"/>
      </w:r>
      <w:r>
        <w:t xml:space="preserve"> </w:t>
      </w:r>
    </w:p>
    <w:p w14:paraId="788BD27D" w14:textId="77777777" w:rsidR="007824DE" w:rsidRDefault="004A6B8A">
      <w:pPr>
        <w:ind w:left="-5" w:right="0"/>
      </w:pPr>
      <w:r>
        <w:rPr>
          <w:b/>
        </w:rPr>
        <w:t xml:space="preserve">Making Available Rights: </w:t>
      </w:r>
      <w:r>
        <w:t>The performer is able to authorize interactive on-demand access on digital platforms, such as OTT services.</w:t>
      </w:r>
      <w:r>
        <w:rPr>
          <w:vertAlign w:val="superscript"/>
        </w:rPr>
        <w:footnoteReference w:id="15"/>
      </w:r>
      <w:r>
        <w:t xml:space="preserve"> </w:t>
      </w:r>
    </w:p>
    <w:p w14:paraId="2716F847" w14:textId="77777777" w:rsidR="007824DE" w:rsidRDefault="004A6B8A">
      <w:pPr>
        <w:spacing w:after="177" w:line="259" w:lineRule="auto"/>
        <w:ind w:left="0" w:right="0" w:firstLine="0"/>
        <w:jc w:val="left"/>
      </w:pPr>
      <w:r>
        <w:t xml:space="preserve"> </w:t>
      </w:r>
    </w:p>
    <w:p w14:paraId="373F80CE" w14:textId="77777777" w:rsidR="007824DE" w:rsidRDefault="004A6B8A">
      <w:pPr>
        <w:spacing w:after="564" w:line="259" w:lineRule="auto"/>
        <w:ind w:left="0" w:right="0" w:firstLine="0"/>
        <w:jc w:val="left"/>
      </w:pPr>
      <w:r>
        <w:t xml:space="preserve"> </w:t>
      </w:r>
    </w:p>
    <w:p w14:paraId="1A3D1D7B" w14:textId="77777777" w:rsidR="007824DE" w:rsidRDefault="004A6B8A">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14:anchorId="732C336E" wp14:editId="01BDF0BC">
                <wp:extent cx="1829054" cy="7621"/>
                <wp:effectExtent l="0" t="0" r="0" b="0"/>
                <wp:docPr id="9339" name="Group 9339"/>
                <wp:cNvGraphicFramePr/>
                <a:graphic xmlns:a="http://schemas.openxmlformats.org/drawingml/2006/main">
                  <a:graphicData uri="http://schemas.microsoft.com/office/word/2010/wordprocessingGroup">
                    <wpg:wgp>
                      <wpg:cNvGrpSpPr/>
                      <wpg:grpSpPr>
                        <a:xfrm>
                          <a:off x="0" y="0"/>
                          <a:ext cx="1829054" cy="7621"/>
                          <a:chOff x="0" y="0"/>
                          <a:chExt cx="1829054" cy="7621"/>
                        </a:xfrm>
                      </wpg:grpSpPr>
                      <wps:wsp>
                        <wps:cNvPr id="11638" name="Shape 11638"/>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9339" style="width:144.02pt;height:0.600098pt;mso-position-horizontal-relative:char;mso-position-vertical-relative:line" coordsize="18290,76">
                <v:shape id="Shape 11639"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Aptos" w:eastAsia="Aptos" w:hAnsi="Aptos" w:cs="Aptos"/>
        </w:rPr>
        <w:t xml:space="preserve"> </w:t>
      </w:r>
    </w:p>
    <w:p w14:paraId="35A0A577" w14:textId="77777777" w:rsidR="007824DE" w:rsidRDefault="004A6B8A">
      <w:pPr>
        <w:pStyle w:val="Heading2"/>
        <w:ind w:left="-5"/>
      </w:pPr>
      <w:r>
        <w:t>4.2 Moral Rights</w:t>
      </w:r>
      <w:r>
        <w:t xml:space="preserve"> </w:t>
      </w:r>
    </w:p>
    <w:p w14:paraId="6EF89F65" w14:textId="77777777" w:rsidR="007824DE" w:rsidRDefault="004A6B8A">
      <w:pPr>
        <w:ind w:left="-5" w:right="0"/>
      </w:pPr>
      <w:r>
        <w:rPr>
          <w:b/>
        </w:rPr>
        <w:t>Right of Attribution:</w:t>
      </w:r>
      <w:r>
        <w:t xml:space="preserve"> </w:t>
      </w:r>
      <w:r>
        <w:t>Performers should be attributed to whenever their work is used. For instance, a playback singer has to be credited in a film soundtrack.</w:t>
      </w:r>
      <w:r>
        <w:rPr>
          <w:vertAlign w:val="superscript"/>
        </w:rPr>
        <w:footnoteReference w:id="16"/>
      </w:r>
      <w:r>
        <w:t xml:space="preserve"> </w:t>
      </w:r>
    </w:p>
    <w:p w14:paraId="5307C560" w14:textId="77777777" w:rsidR="007824DE" w:rsidRDefault="004A6B8A">
      <w:pPr>
        <w:spacing w:after="163"/>
        <w:ind w:left="-5" w:right="0"/>
      </w:pPr>
      <w:r>
        <w:rPr>
          <w:b/>
        </w:rPr>
        <w:t>Right of Integrity:</w:t>
      </w:r>
      <w:r>
        <w:t xml:space="preserve"> Protects performers from distortion, mutilation or misrepresentation of performer's performance.</w:t>
      </w:r>
      <w:r>
        <w:rPr>
          <w:vertAlign w:val="superscript"/>
        </w:rPr>
        <w:footnoteReference w:id="17"/>
      </w:r>
      <w:r>
        <w:t xml:space="preserve"> Voice of a singer or choreography of dancer cannot be altered without consent if it affects the reputation or artistic expression.</w:t>
      </w:r>
      <w:r>
        <w:t xml:space="preserve"> </w:t>
      </w:r>
    </w:p>
    <w:p w14:paraId="6C2BCC10" w14:textId="77777777" w:rsidR="007824DE" w:rsidRDefault="004A6B8A">
      <w:pPr>
        <w:pStyle w:val="Heading2"/>
        <w:ind w:left="-5"/>
      </w:pPr>
      <w:r>
        <w:t>4.3 Duration and Assignment</w:t>
      </w:r>
      <w:r>
        <w:t xml:space="preserve"> </w:t>
      </w:r>
    </w:p>
    <w:p w14:paraId="674079FF" w14:textId="77777777" w:rsidR="007824DE" w:rsidRDefault="004A6B8A">
      <w:pPr>
        <w:ind w:left="-5" w:right="0"/>
      </w:pPr>
      <w:r>
        <w:t>Performers' economic rights last for 50 years from the year after performance.</w:t>
      </w:r>
      <w:r>
        <w:rPr>
          <w:vertAlign w:val="superscript"/>
        </w:rPr>
        <w:footnoteReference w:id="18"/>
      </w:r>
      <w:r>
        <w:t xml:space="preserve"> Economic rights may be assigned by contract but moral rights are inalienable.</w:t>
      </w:r>
      <w:r>
        <w:rPr>
          <w:vertAlign w:val="superscript"/>
        </w:rPr>
        <w:footnoteReference w:id="19"/>
      </w:r>
      <w:r>
        <w:t xml:space="preserve"> This prevents exploitative buy-outs whereby performers forfeit personal rights.</w:t>
      </w:r>
      <w:r>
        <w:t xml:space="preserve"> </w:t>
      </w:r>
    </w:p>
    <w:p w14:paraId="2F9512F7" w14:textId="77777777" w:rsidR="007824DE" w:rsidRDefault="004A6B8A">
      <w:pPr>
        <w:pStyle w:val="Heading1"/>
        <w:ind w:left="-5"/>
      </w:pPr>
      <w:r>
        <w:t>5.INFRINGEMENT OF PERFORMERS RIGHTS</w:t>
      </w:r>
      <w:r>
        <w:t xml:space="preserve"> </w:t>
      </w:r>
    </w:p>
    <w:p w14:paraId="050553B8" w14:textId="77777777" w:rsidR="007824DE" w:rsidRDefault="004A6B8A">
      <w:pPr>
        <w:ind w:left="-5" w:right="0"/>
      </w:pPr>
      <w:r>
        <w:t>Performers' rights are infringed if any unauthorized person:</w:t>
      </w:r>
      <w:r>
        <w:t xml:space="preserve"> </w:t>
      </w:r>
    </w:p>
    <w:p w14:paraId="38695FFC" w14:textId="77777777" w:rsidR="007824DE" w:rsidRDefault="004A6B8A">
      <w:pPr>
        <w:numPr>
          <w:ilvl w:val="0"/>
          <w:numId w:val="3"/>
        </w:numPr>
        <w:spacing w:after="20"/>
        <w:ind w:right="0" w:hanging="360"/>
      </w:pPr>
      <w:r>
        <w:t>Records, reproduces, distributes or communicates the performance;</w:t>
      </w:r>
      <w:r>
        <w:rPr>
          <w:vertAlign w:val="superscript"/>
        </w:rPr>
        <w:footnoteReference w:id="20"/>
      </w:r>
      <w:r>
        <w:t xml:space="preserve"> </w:t>
      </w:r>
    </w:p>
    <w:p w14:paraId="3D940B7B" w14:textId="77777777" w:rsidR="007824DE" w:rsidRDefault="004A6B8A">
      <w:pPr>
        <w:numPr>
          <w:ilvl w:val="0"/>
          <w:numId w:val="3"/>
        </w:numPr>
        <w:spacing w:after="19"/>
        <w:ind w:right="0" w:hanging="360"/>
      </w:pPr>
      <w:r>
        <w:t>Does not attribute the performance appropriately;</w:t>
      </w:r>
      <w:r>
        <w:rPr>
          <w:vertAlign w:val="superscript"/>
        </w:rPr>
        <w:footnoteReference w:id="21"/>
      </w:r>
      <w:r>
        <w:t xml:space="preserve"> </w:t>
      </w:r>
    </w:p>
    <w:p w14:paraId="73894BB7" w14:textId="77777777" w:rsidR="007824DE" w:rsidRDefault="004A6B8A">
      <w:pPr>
        <w:numPr>
          <w:ilvl w:val="0"/>
          <w:numId w:val="3"/>
        </w:numPr>
        <w:spacing w:after="18"/>
        <w:ind w:right="0" w:hanging="360"/>
      </w:pPr>
      <w:r>
        <w:t>Alters or adjusts the performance to the detriment of reputation;</w:t>
      </w:r>
      <w:r>
        <w:rPr>
          <w:vertAlign w:val="superscript"/>
        </w:rPr>
        <w:footnoteReference w:id="22"/>
      </w:r>
      <w:r>
        <w:t xml:space="preserve"> </w:t>
      </w:r>
    </w:p>
    <w:p w14:paraId="752AAA1B" w14:textId="77777777" w:rsidR="007824DE" w:rsidRDefault="004A6B8A">
      <w:pPr>
        <w:numPr>
          <w:ilvl w:val="0"/>
          <w:numId w:val="3"/>
        </w:numPr>
        <w:spacing w:after="143"/>
        <w:ind w:right="0" w:hanging="360"/>
      </w:pPr>
      <w:r>
        <w:t>Uploads or broadcasts performances on the internet without permission.</w:t>
      </w:r>
      <w:r>
        <w:rPr>
          <w:vertAlign w:val="superscript"/>
        </w:rPr>
        <w:footnoteReference w:id="23"/>
      </w:r>
      <w:r>
        <w:t xml:space="preserve"> </w:t>
      </w:r>
    </w:p>
    <w:p w14:paraId="00CCCCF7" w14:textId="77777777" w:rsidR="007824DE" w:rsidRDefault="004A6B8A">
      <w:pPr>
        <w:pStyle w:val="Heading2"/>
        <w:ind w:left="-5"/>
      </w:pPr>
      <w:r>
        <w:t>5.1 Digital-Age Challenges</w:t>
      </w:r>
      <w:r>
        <w:t xml:space="preserve"> </w:t>
      </w:r>
    </w:p>
    <w:p w14:paraId="4BDFDCA6" w14:textId="77777777" w:rsidR="007824DE" w:rsidRDefault="004A6B8A">
      <w:pPr>
        <w:spacing w:after="166"/>
        <w:ind w:left="-5" w:right="0"/>
      </w:pPr>
      <w:r>
        <w:rPr>
          <w:b/>
        </w:rPr>
        <w:t>Piracy and Online Distribution:</w:t>
      </w:r>
      <w:r>
        <w:t xml:space="preserve"> Unauthorized streaming and file-</w:t>
      </w:r>
      <w:r>
        <w:t>sharing websites pass out performances without consent.</w:t>
      </w:r>
      <w:r>
        <w:t xml:space="preserve"> </w:t>
      </w:r>
    </w:p>
    <w:p w14:paraId="662099A1" w14:textId="77777777" w:rsidR="007824DE" w:rsidRDefault="004A6B8A">
      <w:pPr>
        <w:spacing w:after="1168"/>
        <w:ind w:left="-5" w:right="0"/>
      </w:pPr>
      <w:r>
        <w:rPr>
          <w:b/>
        </w:rPr>
        <w:t>Social Media Misuse:</w:t>
      </w:r>
      <w:r>
        <w:t xml:space="preserve"> The with clip or remixes which are uploaded on social media platforms such as Instagram or TikTok are often unauthorized.</w:t>
      </w:r>
      <w:r>
        <w:t xml:space="preserve"> </w:t>
      </w:r>
    </w:p>
    <w:p w14:paraId="0BB2AC2E" w14:textId="77777777" w:rsidR="007824DE" w:rsidRDefault="004A6B8A">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14:anchorId="6EC913D1" wp14:editId="330A299F">
                <wp:extent cx="1829054" cy="7621"/>
                <wp:effectExtent l="0" t="0" r="0" b="0"/>
                <wp:docPr id="10969" name="Group 10969"/>
                <wp:cNvGraphicFramePr/>
                <a:graphic xmlns:a="http://schemas.openxmlformats.org/drawingml/2006/main">
                  <a:graphicData uri="http://schemas.microsoft.com/office/word/2010/wordprocessingGroup">
                    <wpg:wgp>
                      <wpg:cNvGrpSpPr/>
                      <wpg:grpSpPr>
                        <a:xfrm>
                          <a:off x="0" y="0"/>
                          <a:ext cx="1829054" cy="7621"/>
                          <a:chOff x="0" y="0"/>
                          <a:chExt cx="1829054" cy="7621"/>
                        </a:xfrm>
                      </wpg:grpSpPr>
                      <wps:wsp>
                        <wps:cNvPr id="11640" name="Shape 11640"/>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969" style="width:144.02pt;height:0.600098pt;mso-position-horizontal-relative:char;mso-position-vertical-relative:line" coordsize="18290,76">
                <v:shape id="Shape 11641"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Aptos" w:eastAsia="Aptos" w:hAnsi="Aptos" w:cs="Aptos"/>
        </w:rPr>
        <w:t xml:space="preserve"> </w:t>
      </w:r>
    </w:p>
    <w:p w14:paraId="60840965" w14:textId="77777777" w:rsidR="007824DE" w:rsidRDefault="004A6B8A">
      <w:pPr>
        <w:ind w:left="-5" w:right="0"/>
      </w:pPr>
      <w:r>
        <w:rPr>
          <w:b/>
        </w:rPr>
        <w:t>AI-Generated Performances:</w:t>
      </w:r>
      <w:r>
        <w:t xml:space="preserve"> Deepfake videos and AI-synthesized voices have introduced new problems. Unauthorized AI replication may be an infringement of both moral and economic rights, but there is not much legal clarity here.</w:t>
      </w:r>
      <w:r>
        <w:t xml:space="preserve"> </w:t>
      </w:r>
    </w:p>
    <w:p w14:paraId="446959BB" w14:textId="77777777" w:rsidR="007824DE" w:rsidRDefault="004A6B8A">
      <w:pPr>
        <w:pStyle w:val="Heading1"/>
        <w:ind w:left="-5"/>
      </w:pPr>
      <w:r>
        <w:t>6. Exceptions and Limitations</w:t>
      </w:r>
      <w:r>
        <w:t xml:space="preserve"> </w:t>
      </w:r>
    </w:p>
    <w:p w14:paraId="18A4464F" w14:textId="77777777" w:rsidR="007824DE" w:rsidRDefault="004A6B8A">
      <w:pPr>
        <w:ind w:left="-5" w:right="0"/>
      </w:pPr>
      <w:r>
        <w:t>There are some types of uses of performances that are not subject to claims of infringement:</w:t>
      </w:r>
      <w:r>
        <w:t xml:space="preserve"> </w:t>
      </w:r>
    </w:p>
    <w:p w14:paraId="712A0356" w14:textId="77777777" w:rsidR="007824DE" w:rsidRDefault="004A6B8A">
      <w:pPr>
        <w:numPr>
          <w:ilvl w:val="0"/>
          <w:numId w:val="4"/>
        </w:numPr>
        <w:spacing w:after="0"/>
        <w:ind w:right="0" w:hanging="360"/>
      </w:pPr>
      <w:r>
        <w:t>Private or personal use;</w:t>
      </w:r>
      <w:r>
        <w:t xml:space="preserve"> </w:t>
      </w:r>
    </w:p>
    <w:p w14:paraId="73CEF4BF" w14:textId="77777777" w:rsidR="007824DE" w:rsidRDefault="004A6B8A">
      <w:pPr>
        <w:numPr>
          <w:ilvl w:val="0"/>
          <w:numId w:val="4"/>
        </w:numPr>
        <w:spacing w:after="0"/>
        <w:ind w:right="0" w:hanging="360"/>
      </w:pPr>
      <w:r>
        <w:t>Educational or research purposes;</w:t>
      </w:r>
      <w:r>
        <w:t xml:space="preserve"> </w:t>
      </w:r>
    </w:p>
    <w:p w14:paraId="659042FD" w14:textId="77777777" w:rsidR="007824DE" w:rsidRDefault="004A6B8A">
      <w:pPr>
        <w:numPr>
          <w:ilvl w:val="0"/>
          <w:numId w:val="4"/>
        </w:numPr>
        <w:spacing w:after="0"/>
        <w:ind w:right="0" w:hanging="360"/>
      </w:pPr>
      <w:r>
        <w:t>Criticism, review or news reporting;</w:t>
      </w:r>
      <w:r>
        <w:t xml:space="preserve"> </w:t>
      </w:r>
    </w:p>
    <w:p w14:paraId="6A66CAA2" w14:textId="77777777" w:rsidR="007824DE" w:rsidRDefault="004A6B8A">
      <w:pPr>
        <w:numPr>
          <w:ilvl w:val="0"/>
          <w:numId w:val="4"/>
        </w:numPr>
        <w:spacing w:after="146"/>
        <w:ind w:right="0" w:hanging="360"/>
      </w:pPr>
      <w:r>
        <w:t>Judicial or legislative proceedings.</w:t>
      </w:r>
      <w:r>
        <w:rPr>
          <w:vertAlign w:val="superscript"/>
        </w:rPr>
        <w:footnoteReference w:id="24"/>
      </w:r>
      <w:r>
        <w:t xml:space="preserve"> </w:t>
      </w:r>
    </w:p>
    <w:p w14:paraId="0478AA2F" w14:textId="77777777" w:rsidR="007824DE" w:rsidRDefault="004A6B8A">
      <w:pPr>
        <w:ind w:left="-5" w:right="0"/>
      </w:pPr>
      <w:r>
        <w:t>These exceptions are intended to balance the rights of performers with access to and freedom of information by the public.</w:t>
      </w:r>
      <w:r>
        <w:t xml:space="preserve"> </w:t>
      </w:r>
    </w:p>
    <w:p w14:paraId="24256DD2" w14:textId="77777777" w:rsidR="007824DE" w:rsidRDefault="004A6B8A">
      <w:pPr>
        <w:pStyle w:val="Heading1"/>
        <w:ind w:left="-5"/>
      </w:pPr>
      <w:r>
        <w:t>7. REMEDIES</w:t>
      </w:r>
      <w:r>
        <w:t xml:space="preserve"> </w:t>
      </w:r>
    </w:p>
    <w:p w14:paraId="4AF2D33A" w14:textId="77777777" w:rsidR="007824DE" w:rsidRDefault="004A6B8A">
      <w:pPr>
        <w:pStyle w:val="Heading2"/>
        <w:ind w:left="-5"/>
      </w:pPr>
      <w:r>
        <w:t>7.1 Civil Remedies</w:t>
      </w:r>
      <w:r>
        <w:t xml:space="preserve"> </w:t>
      </w:r>
    </w:p>
    <w:p w14:paraId="609E2BEA" w14:textId="77777777" w:rsidR="007824DE" w:rsidRDefault="004A6B8A">
      <w:pPr>
        <w:ind w:left="-5" w:right="0"/>
      </w:pPr>
      <w:r>
        <w:t>Performers may seek:</w:t>
      </w:r>
      <w:r>
        <w:t xml:space="preserve"> </w:t>
      </w:r>
    </w:p>
    <w:p w14:paraId="2F0793AA" w14:textId="77777777" w:rsidR="007824DE" w:rsidRDefault="004A6B8A">
      <w:pPr>
        <w:numPr>
          <w:ilvl w:val="0"/>
          <w:numId w:val="5"/>
        </w:numPr>
        <w:spacing w:after="0"/>
        <w:ind w:right="0" w:hanging="360"/>
      </w:pPr>
      <w:r>
        <w:t>Injunctions to prevent infringement;</w:t>
      </w:r>
      <w:r>
        <w:t xml:space="preserve"> </w:t>
      </w:r>
    </w:p>
    <w:p w14:paraId="50B8AA90" w14:textId="77777777" w:rsidR="007824DE" w:rsidRDefault="004A6B8A">
      <w:pPr>
        <w:numPr>
          <w:ilvl w:val="0"/>
          <w:numId w:val="5"/>
        </w:numPr>
        <w:spacing w:after="0"/>
        <w:ind w:right="0" w:hanging="360"/>
      </w:pPr>
      <w:r>
        <w:t>Damages and account of profits;</w:t>
      </w:r>
      <w:r>
        <w:t xml:space="preserve"> </w:t>
      </w:r>
    </w:p>
    <w:p w14:paraId="57742CEE" w14:textId="77777777" w:rsidR="007824DE" w:rsidRDefault="004A6B8A">
      <w:pPr>
        <w:numPr>
          <w:ilvl w:val="0"/>
          <w:numId w:val="5"/>
        </w:numPr>
        <w:spacing w:after="144"/>
        <w:ind w:right="0" w:hanging="360"/>
      </w:pPr>
      <w:r>
        <w:t>Seizure and destruction of infringing copies.</w:t>
      </w:r>
      <w:r>
        <w:rPr>
          <w:vertAlign w:val="superscript"/>
        </w:rPr>
        <w:footnoteReference w:id="25"/>
      </w:r>
      <w:r>
        <w:t xml:space="preserve"> </w:t>
      </w:r>
    </w:p>
    <w:p w14:paraId="1EEC7F67" w14:textId="77777777" w:rsidR="007824DE" w:rsidRDefault="004A6B8A">
      <w:pPr>
        <w:pStyle w:val="Heading2"/>
        <w:ind w:left="-5"/>
      </w:pPr>
      <w:r>
        <w:t>7.2 Criminal Remedies</w:t>
      </w:r>
      <w:r>
        <w:t xml:space="preserve"> </w:t>
      </w:r>
    </w:p>
    <w:p w14:paraId="71E05D32" w14:textId="77777777" w:rsidR="007824DE" w:rsidRDefault="004A6B8A">
      <w:pPr>
        <w:ind w:left="-5" w:right="0"/>
      </w:pPr>
      <w:r>
        <w:t>Unauthorized reproduction or communication for commercial gain may be attracted by:</w:t>
      </w:r>
      <w:r>
        <w:t xml:space="preserve"> </w:t>
      </w:r>
    </w:p>
    <w:p w14:paraId="47642BA5" w14:textId="77777777" w:rsidR="007824DE" w:rsidRDefault="004A6B8A">
      <w:pPr>
        <w:numPr>
          <w:ilvl w:val="0"/>
          <w:numId w:val="6"/>
        </w:numPr>
        <w:spacing w:after="0"/>
        <w:ind w:right="0" w:hanging="360"/>
      </w:pPr>
      <w:r>
        <w:t>Fines;</w:t>
      </w:r>
      <w:r>
        <w:t xml:space="preserve"> </w:t>
      </w:r>
    </w:p>
    <w:p w14:paraId="68EB22BE" w14:textId="77777777" w:rsidR="007824DE" w:rsidRDefault="004A6B8A">
      <w:pPr>
        <w:numPr>
          <w:ilvl w:val="0"/>
          <w:numId w:val="6"/>
        </w:numPr>
        <w:spacing w:after="0"/>
        <w:ind w:right="0" w:hanging="360"/>
      </w:pPr>
      <w:r>
        <w:t>Imprisonment;</w:t>
      </w:r>
      <w:r>
        <w:t xml:space="preserve"> </w:t>
      </w:r>
    </w:p>
    <w:p w14:paraId="1FA0D002" w14:textId="77777777" w:rsidR="007824DE" w:rsidRDefault="004A6B8A">
      <w:pPr>
        <w:numPr>
          <w:ilvl w:val="0"/>
          <w:numId w:val="6"/>
        </w:numPr>
        <w:spacing w:after="146"/>
        <w:ind w:right="0" w:hanging="360"/>
      </w:pPr>
      <w:r>
        <w:t>Seizure of infringing devices and materials.</w:t>
      </w:r>
      <w:r>
        <w:rPr>
          <w:vertAlign w:val="superscript"/>
        </w:rPr>
        <w:footnoteReference w:id="26"/>
      </w:r>
      <w:r>
        <w:t xml:space="preserve"> </w:t>
      </w:r>
    </w:p>
    <w:p w14:paraId="77588F4D" w14:textId="77777777" w:rsidR="007824DE" w:rsidRDefault="004A6B8A">
      <w:pPr>
        <w:pStyle w:val="Heading2"/>
        <w:ind w:left="-5"/>
      </w:pPr>
      <w:r>
        <w:t>7.3 Collective Management Organisations</w:t>
      </w:r>
      <w:r>
        <w:t xml:space="preserve"> </w:t>
      </w:r>
    </w:p>
    <w:p w14:paraId="1B7E6E1E" w14:textId="77777777" w:rsidR="007824DE" w:rsidRDefault="004A6B8A">
      <w:pPr>
        <w:ind w:left="-5" w:right="0"/>
      </w:pPr>
      <w:r>
        <w:t>CMOs assist performers in administering rights, licensing use and collecting royalties. A fully integrated system of performer-centric CMO, performing on a performer-centric model, still does not exist in India, leading to inefficiencies in royalty collection.</w:t>
      </w:r>
      <w:r>
        <w:rPr>
          <w:vertAlign w:val="superscript"/>
        </w:rPr>
        <w:footnoteReference w:id="27"/>
      </w:r>
      <w:r>
        <w:t xml:space="preserve"> </w:t>
      </w:r>
    </w:p>
    <w:p w14:paraId="5C533303" w14:textId="77777777" w:rsidR="007824DE" w:rsidRDefault="004A6B8A">
      <w:pPr>
        <w:spacing w:after="616" w:line="259" w:lineRule="auto"/>
        <w:ind w:left="0" w:right="0" w:firstLine="0"/>
        <w:jc w:val="left"/>
      </w:pPr>
      <w:r>
        <w:t xml:space="preserve"> </w:t>
      </w:r>
    </w:p>
    <w:p w14:paraId="7ED8EA2E" w14:textId="77777777" w:rsidR="007824DE" w:rsidRDefault="004A6B8A">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14:anchorId="27EB8A5C" wp14:editId="1227BDD9">
                <wp:extent cx="1829054" cy="7620"/>
                <wp:effectExtent l="0" t="0" r="0" b="0"/>
                <wp:docPr id="9501" name="Group 9501"/>
                <wp:cNvGraphicFramePr/>
                <a:graphic xmlns:a="http://schemas.openxmlformats.org/drawingml/2006/main">
                  <a:graphicData uri="http://schemas.microsoft.com/office/word/2010/wordprocessingGroup">
                    <wpg:wgp>
                      <wpg:cNvGrpSpPr/>
                      <wpg:grpSpPr>
                        <a:xfrm>
                          <a:off x="0" y="0"/>
                          <a:ext cx="1829054" cy="7620"/>
                          <a:chOff x="0" y="0"/>
                          <a:chExt cx="1829054" cy="7620"/>
                        </a:xfrm>
                      </wpg:grpSpPr>
                      <wps:wsp>
                        <wps:cNvPr id="11642" name="Shape 11642"/>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9501" style="width:144.02pt;height:0.600037pt;mso-position-horizontal-relative:char;mso-position-vertical-relative:line" coordsize="18290,76">
                <v:shape id="Shape 11643"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Aptos" w:eastAsia="Aptos" w:hAnsi="Aptos" w:cs="Aptos"/>
        </w:rPr>
        <w:t xml:space="preserve"> </w:t>
      </w:r>
    </w:p>
    <w:p w14:paraId="629CDCB9" w14:textId="77777777" w:rsidR="007824DE" w:rsidRDefault="004A6B8A">
      <w:pPr>
        <w:pStyle w:val="Heading1"/>
        <w:ind w:left="-5"/>
      </w:pPr>
      <w:r>
        <w:t>8. JUDICIAL INTERPRETATIONS</w:t>
      </w:r>
      <w:r>
        <w:t xml:space="preserve"> </w:t>
      </w:r>
    </w:p>
    <w:p w14:paraId="36CC8258" w14:textId="77777777" w:rsidR="007824DE" w:rsidRDefault="004A6B8A">
      <w:pPr>
        <w:ind w:left="-5" w:right="0"/>
      </w:pPr>
      <w:r>
        <w:t>Indian courts have made it clear on the following aspects:</w:t>
      </w:r>
      <w:r>
        <w:t xml:space="preserve"> </w:t>
      </w:r>
    </w:p>
    <w:p w14:paraId="5EB13B57" w14:textId="77777777" w:rsidR="007824DE" w:rsidRDefault="004A6B8A">
      <w:pPr>
        <w:numPr>
          <w:ilvl w:val="0"/>
          <w:numId w:val="7"/>
        </w:numPr>
        <w:spacing w:after="31"/>
        <w:ind w:right="0" w:hanging="360"/>
      </w:pPr>
      <w:r>
        <w:t>Studio Performances Count Pre-</w:t>
      </w:r>
      <w:r>
        <w:t>recorded studio sessions qualify as "performances."</w:t>
      </w:r>
      <w:r>
        <w:rPr>
          <w:vertAlign w:val="superscript"/>
        </w:rPr>
        <w:footnoteReference w:id="28"/>
      </w:r>
      <w:r>
        <w:t xml:space="preserve"> </w:t>
      </w:r>
    </w:p>
    <w:p w14:paraId="503E5C7C" w14:textId="77777777" w:rsidR="007824DE" w:rsidRDefault="004A6B8A">
      <w:pPr>
        <w:numPr>
          <w:ilvl w:val="0"/>
          <w:numId w:val="7"/>
        </w:numPr>
        <w:spacing w:after="50"/>
        <w:ind w:right="0" w:hanging="360"/>
      </w:pPr>
      <w:r>
        <w:t>Unauthorised Re-recordings Copying or rebroadcasting without consent is an infringement of economic rights.</w:t>
      </w:r>
      <w:r>
        <w:rPr>
          <w:vertAlign w:val="superscript"/>
        </w:rPr>
        <w:footnoteReference w:id="29"/>
      </w:r>
      <w:r>
        <w:t xml:space="preserve"> </w:t>
      </w:r>
    </w:p>
    <w:p w14:paraId="036EDFC3" w14:textId="77777777" w:rsidR="007824DE" w:rsidRDefault="004A6B8A">
      <w:pPr>
        <w:numPr>
          <w:ilvl w:val="0"/>
          <w:numId w:val="7"/>
        </w:numPr>
        <w:spacing w:after="52"/>
        <w:ind w:right="0" w:hanging="360"/>
      </w:pPr>
      <w:r>
        <w:t>Moral Rights Protection: Distortion or misrepresentation is recognised by the courts as being actionable.</w:t>
      </w:r>
      <w:r>
        <w:rPr>
          <w:vertAlign w:val="superscript"/>
        </w:rPr>
        <w:footnoteReference w:id="30"/>
      </w:r>
      <w:r>
        <w:t xml:space="preserve"> </w:t>
      </w:r>
    </w:p>
    <w:p w14:paraId="4F8ADFBB" w14:textId="77777777" w:rsidR="007824DE" w:rsidRDefault="004A6B8A">
      <w:pPr>
        <w:numPr>
          <w:ilvl w:val="0"/>
          <w:numId w:val="7"/>
        </w:numPr>
        <w:ind w:right="0" w:hanging="360"/>
      </w:pPr>
      <w:r>
        <w:t>Contractual Fairness: Courts examine contracts in which performers are waiving rights, especially junior artists.</w:t>
      </w:r>
      <w:r>
        <w:rPr>
          <w:vertAlign w:val="superscript"/>
        </w:rPr>
        <w:footnoteReference w:id="31"/>
      </w:r>
      <w:r>
        <w:t xml:space="preserve"> </w:t>
      </w:r>
    </w:p>
    <w:p w14:paraId="1DB5E300" w14:textId="77777777" w:rsidR="007824DE" w:rsidRDefault="004A6B8A">
      <w:pPr>
        <w:ind w:left="-5" w:right="0"/>
      </w:pPr>
      <w:r>
        <w:t>These interpretations demonstrate that the interests of performers increasingly have been protected by the courts, particularly in cases involving new media and technology.</w:t>
      </w:r>
      <w:r>
        <w:t xml:space="preserve"> </w:t>
      </w:r>
    </w:p>
    <w:p w14:paraId="65D23736" w14:textId="77777777" w:rsidR="007824DE" w:rsidRDefault="004A6B8A">
      <w:pPr>
        <w:pStyle w:val="Heading1"/>
        <w:ind w:left="-5"/>
      </w:pPr>
      <w:r>
        <w:t>9. RIGHTS AND OVERLAPS OF BROADCASTERS</w:t>
      </w:r>
      <w:r>
        <w:t xml:space="preserve"> </w:t>
      </w:r>
    </w:p>
    <w:p w14:paraId="4C9D0602" w14:textId="77777777" w:rsidR="007824DE" w:rsidRDefault="004A6B8A">
      <w:pPr>
        <w:ind w:left="-5" w:right="0"/>
      </w:pPr>
      <w:r>
        <w:t>Broadcasting organizations own rights to:</w:t>
      </w:r>
      <w:r>
        <w:t xml:space="preserve"> </w:t>
      </w:r>
    </w:p>
    <w:p w14:paraId="3EFC4A13" w14:textId="77777777" w:rsidR="007824DE" w:rsidRDefault="004A6B8A">
      <w:pPr>
        <w:numPr>
          <w:ilvl w:val="0"/>
          <w:numId w:val="8"/>
        </w:numPr>
        <w:spacing w:after="0"/>
        <w:ind w:right="0" w:hanging="360"/>
      </w:pPr>
      <w:r>
        <w:t>Reproduce and re-broadcast content;</w:t>
      </w:r>
      <w:r>
        <w:t xml:space="preserve"> </w:t>
      </w:r>
    </w:p>
    <w:p w14:paraId="6FB2A273" w14:textId="77777777" w:rsidR="007824DE" w:rsidRDefault="004A6B8A">
      <w:pPr>
        <w:numPr>
          <w:ilvl w:val="0"/>
          <w:numId w:val="8"/>
        </w:numPr>
        <w:spacing w:after="144"/>
        <w:ind w:right="0" w:hanging="360"/>
      </w:pPr>
      <w:r>
        <w:t>Communicate performances to the public.</w:t>
      </w:r>
      <w:r>
        <w:rPr>
          <w:vertAlign w:val="superscript"/>
        </w:rPr>
        <w:footnoteReference w:id="32"/>
      </w:r>
      <w:r>
        <w:t xml:space="preserve"> </w:t>
      </w:r>
    </w:p>
    <w:p w14:paraId="330F1708" w14:textId="77777777" w:rsidR="007824DE" w:rsidRDefault="004A6B8A">
      <w:pPr>
        <w:ind w:left="-5" w:right="0"/>
      </w:pPr>
      <w:r>
        <w:t>Licensing agreements are important to help manage overlapping rights between performers and broadcasters. Proper arrangements are made so that they are compensated fairly and not double-exploited.</w:t>
      </w:r>
      <w:r>
        <w:t xml:space="preserve"> </w:t>
      </w:r>
    </w:p>
    <w:p w14:paraId="64F34E1E" w14:textId="77777777" w:rsidR="007824DE" w:rsidRDefault="004A6B8A">
      <w:pPr>
        <w:pStyle w:val="Heading1"/>
        <w:ind w:left="-5"/>
      </w:pPr>
      <w:r>
        <w:t>10. CONTEMPORARY CHALLENGES</w:t>
      </w:r>
      <w:r>
        <w:t xml:space="preserve"> </w:t>
      </w:r>
    </w:p>
    <w:p w14:paraId="6508C849" w14:textId="77777777" w:rsidR="007824DE" w:rsidRDefault="004A6B8A">
      <w:pPr>
        <w:ind w:left="-5" w:right="0"/>
      </w:pPr>
      <w:r>
        <w:rPr>
          <w:b/>
        </w:rPr>
        <w:t>Digital Piracy:</w:t>
      </w:r>
      <w:r>
        <w:t xml:space="preserve"> Illegal streaming has been a major issue, especially for film songs and music videos.</w:t>
      </w:r>
      <w:r>
        <w:rPr>
          <w:vertAlign w:val="superscript"/>
        </w:rPr>
        <w:footnoteReference w:id="33"/>
      </w:r>
      <w:r>
        <w:t xml:space="preserve"> </w:t>
      </w:r>
    </w:p>
    <w:p w14:paraId="1CF88E3C" w14:textId="77777777" w:rsidR="007824DE" w:rsidRDefault="004A6B8A">
      <w:pPr>
        <w:spacing w:after="1649"/>
        <w:ind w:left="-5" w:right="0"/>
      </w:pPr>
      <w:r>
        <w:rPr>
          <w:b/>
        </w:rPr>
        <w:t>Social Media Use:</w:t>
      </w:r>
      <w:r>
        <w:t xml:space="preserve"> Viral videos are often based on performances that are done without the consent. Content moderation policies of platforms may not be adequate.</w:t>
      </w:r>
      <w:r>
        <w:t xml:space="preserve"> </w:t>
      </w:r>
    </w:p>
    <w:p w14:paraId="067554FD" w14:textId="77777777" w:rsidR="007824DE" w:rsidRDefault="004A6B8A">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14:anchorId="19AAD9D1" wp14:editId="4A72F24E">
                <wp:extent cx="1829054" cy="7620"/>
                <wp:effectExtent l="0" t="0" r="0" b="0"/>
                <wp:docPr id="9406" name="Group 9406"/>
                <wp:cNvGraphicFramePr/>
                <a:graphic xmlns:a="http://schemas.openxmlformats.org/drawingml/2006/main">
                  <a:graphicData uri="http://schemas.microsoft.com/office/word/2010/wordprocessingGroup">
                    <wpg:wgp>
                      <wpg:cNvGrpSpPr/>
                      <wpg:grpSpPr>
                        <a:xfrm>
                          <a:off x="0" y="0"/>
                          <a:ext cx="1829054" cy="7620"/>
                          <a:chOff x="0" y="0"/>
                          <a:chExt cx="1829054" cy="7620"/>
                        </a:xfrm>
                      </wpg:grpSpPr>
                      <wps:wsp>
                        <wps:cNvPr id="11644" name="Shape 11644"/>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9406" style="width:144.02pt;height:0.600037pt;mso-position-horizontal-relative:char;mso-position-vertical-relative:line" coordsize="18290,76">
                <v:shape id="Shape 11645"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Aptos" w:eastAsia="Aptos" w:hAnsi="Aptos" w:cs="Aptos"/>
        </w:rPr>
        <w:t xml:space="preserve"> </w:t>
      </w:r>
    </w:p>
    <w:p w14:paraId="5E4A226F" w14:textId="77777777" w:rsidR="007824DE" w:rsidRDefault="004A6B8A">
      <w:pPr>
        <w:ind w:left="-5" w:right="0"/>
      </w:pPr>
      <w:r>
        <w:rPr>
          <w:b/>
        </w:rPr>
        <w:t>AI-</w:t>
      </w:r>
      <w:r>
        <w:rPr>
          <w:b/>
        </w:rPr>
        <w:t>Generated Content:</w:t>
      </w:r>
      <w:r>
        <w:t xml:space="preserve"> Voice cloning and deepfake performances are threatening the control of performers over their persona.</w:t>
      </w:r>
      <w:r>
        <w:rPr>
          <w:vertAlign w:val="superscript"/>
        </w:rPr>
        <w:footnoteReference w:id="34"/>
      </w:r>
      <w:r>
        <w:t xml:space="preserve"> </w:t>
      </w:r>
    </w:p>
    <w:p w14:paraId="5D17E2D3" w14:textId="77777777" w:rsidR="007824DE" w:rsidRDefault="004A6B8A">
      <w:pPr>
        <w:ind w:left="-5" w:right="0"/>
      </w:pPr>
      <w:r>
        <w:rPr>
          <w:b/>
        </w:rPr>
        <w:t>Contractual Exploitation:</w:t>
      </w:r>
      <w:r>
        <w:t xml:space="preserve"> Many performers who are just beginning their careers sign contracts that waive economic and moral rights.</w:t>
      </w:r>
      <w:r>
        <w:rPr>
          <w:vertAlign w:val="superscript"/>
        </w:rPr>
        <w:footnoteReference w:id="35"/>
      </w:r>
      <w:r>
        <w:t xml:space="preserve"> </w:t>
      </w:r>
    </w:p>
    <w:p w14:paraId="7865A512" w14:textId="77777777" w:rsidR="007824DE" w:rsidRDefault="004A6B8A">
      <w:pPr>
        <w:spacing w:after="250"/>
        <w:ind w:left="-5" w:right="0"/>
      </w:pPr>
      <w:r>
        <w:rPr>
          <w:b/>
        </w:rPr>
        <w:t>Royalty Distribution:</w:t>
      </w:r>
      <w:r>
        <w:t xml:space="preserve"> India does not have a streamlined system of tracking and paying digital royalties.</w:t>
      </w:r>
      <w:r>
        <w:rPr>
          <w:vertAlign w:val="superscript"/>
        </w:rPr>
        <w:footnoteReference w:id="36"/>
      </w:r>
      <w:r>
        <w:t xml:space="preserve"> </w:t>
      </w:r>
    </w:p>
    <w:p w14:paraId="6E7A9D5F" w14:textId="77777777" w:rsidR="007824DE" w:rsidRDefault="004A6B8A">
      <w:pPr>
        <w:pStyle w:val="Heading1"/>
        <w:ind w:left="-5"/>
      </w:pPr>
      <w:r>
        <w:t>11. POLICY RECOMMENDATIONS</w:t>
      </w:r>
      <w:r>
        <w:t xml:space="preserve"> </w:t>
      </w:r>
    </w:p>
    <w:p w14:paraId="70F42CAF" w14:textId="77777777" w:rsidR="007824DE" w:rsidRDefault="004A6B8A">
      <w:pPr>
        <w:numPr>
          <w:ilvl w:val="0"/>
          <w:numId w:val="9"/>
        </w:numPr>
        <w:spacing w:after="17"/>
        <w:ind w:right="0" w:hanging="360"/>
      </w:pPr>
      <w:r>
        <w:rPr>
          <w:b/>
        </w:rPr>
        <w:t>Strengthen Digital and AI Protections:</w:t>
      </w:r>
      <w:r>
        <w:t xml:space="preserve"> Amend the Copyright Act to specifically address AI-generated performances and online sharing.</w:t>
      </w:r>
      <w:r>
        <w:t xml:space="preserve"> </w:t>
      </w:r>
    </w:p>
    <w:p w14:paraId="62633A6C" w14:textId="77777777" w:rsidR="007824DE" w:rsidRDefault="004A6B8A">
      <w:pPr>
        <w:numPr>
          <w:ilvl w:val="0"/>
          <w:numId w:val="9"/>
        </w:numPr>
        <w:spacing w:after="14"/>
        <w:ind w:right="0" w:hanging="360"/>
      </w:pPr>
      <w:r>
        <w:rPr>
          <w:b/>
        </w:rPr>
        <w:t>Performer-Centric CMOs:</w:t>
      </w:r>
      <w:r>
        <w:t xml:space="preserve"> Establish transparent, efficient societies to account for and distribute licenses and royalties.</w:t>
      </w:r>
      <w:r>
        <w:t xml:space="preserve"> </w:t>
      </w:r>
    </w:p>
    <w:p w14:paraId="13C51D06" w14:textId="77777777" w:rsidR="007824DE" w:rsidRDefault="004A6B8A">
      <w:pPr>
        <w:numPr>
          <w:ilvl w:val="0"/>
          <w:numId w:val="9"/>
        </w:numPr>
        <w:spacing w:after="15"/>
        <w:ind w:right="0" w:hanging="360"/>
      </w:pPr>
      <w:r>
        <w:rPr>
          <w:b/>
        </w:rPr>
        <w:t>Fair Contracting Standards:</w:t>
      </w:r>
      <w:r>
        <w:t xml:space="preserve"> Introduce mandatory non-</w:t>
      </w:r>
      <w:r>
        <w:t>waivable standards of moral and royalty rights of performers.</w:t>
      </w:r>
      <w:r>
        <w:t xml:space="preserve"> </w:t>
      </w:r>
    </w:p>
    <w:p w14:paraId="0BF73637" w14:textId="77777777" w:rsidR="007824DE" w:rsidRDefault="004A6B8A">
      <w:pPr>
        <w:numPr>
          <w:ilvl w:val="0"/>
          <w:numId w:val="9"/>
        </w:numPr>
        <w:spacing w:after="14"/>
        <w:ind w:right="0" w:hanging="360"/>
      </w:pPr>
      <w:r>
        <w:rPr>
          <w:b/>
        </w:rPr>
        <w:t xml:space="preserve">Improved Enforcement Mechanisms: </w:t>
      </w:r>
      <w:r>
        <w:t>Fast-track tribunals, online takedowns, and automated monitoring of digital platforms.</w:t>
      </w:r>
      <w:r>
        <w:t xml:space="preserve"> </w:t>
      </w:r>
    </w:p>
    <w:p w14:paraId="25E796F3" w14:textId="77777777" w:rsidR="007824DE" w:rsidRDefault="004A6B8A">
      <w:pPr>
        <w:numPr>
          <w:ilvl w:val="0"/>
          <w:numId w:val="9"/>
        </w:numPr>
        <w:spacing w:after="165"/>
        <w:ind w:right="0" w:hanging="360"/>
      </w:pPr>
      <w:r>
        <w:rPr>
          <w:b/>
        </w:rPr>
        <w:t>Awareness and Capacity Building:</w:t>
      </w:r>
      <w:r>
        <w:t xml:space="preserve"> Workshops for performers on contracts, rights and licensing to enable them to be better bargainers.</w:t>
      </w:r>
      <w:r>
        <w:t xml:space="preserve"> </w:t>
      </w:r>
    </w:p>
    <w:p w14:paraId="4096C03E" w14:textId="77777777" w:rsidR="007824DE" w:rsidRDefault="004A6B8A">
      <w:pPr>
        <w:ind w:left="-5" w:right="0"/>
      </w:pPr>
      <w:r>
        <w:t>These reforms would bring India in line with the best practices around the world and preserve the position of performers in the digital age.</w:t>
      </w:r>
      <w:r>
        <w:t xml:space="preserve"> </w:t>
      </w:r>
    </w:p>
    <w:p w14:paraId="7259EDCD" w14:textId="77777777" w:rsidR="007824DE" w:rsidRDefault="004A6B8A">
      <w:pPr>
        <w:pStyle w:val="Heading1"/>
        <w:ind w:left="-5"/>
      </w:pPr>
      <w:r>
        <w:t>12. CONCLUSION</w:t>
      </w:r>
      <w:r>
        <w:t xml:space="preserve"> </w:t>
      </w:r>
    </w:p>
    <w:p w14:paraId="7F04C529" w14:textId="77777777" w:rsidR="007824DE" w:rsidRDefault="004A6B8A">
      <w:pPr>
        <w:spacing w:after="165"/>
        <w:ind w:left="-5" w:right="0"/>
      </w:pPr>
      <w:r>
        <w:t>India’s performers’ rights framework has evolved significantly, from non-recognition to comprehensive protection under the 2012 amendments. Statutory economic and moral rights, judicial interpretations, and emerging collective management mechanisms provide performers with legal leverage. However, challenges from digital distribution, social media, AI-generated content, and contractual exploitation remain pressing.</w:t>
      </w:r>
      <w:r>
        <w:t xml:space="preserve"> </w:t>
      </w:r>
    </w:p>
    <w:p w14:paraId="750CA11D" w14:textId="77777777" w:rsidR="007824DE" w:rsidRDefault="004A6B8A">
      <w:pPr>
        <w:spacing w:after="165"/>
        <w:ind w:left="-5" w:right="0"/>
      </w:pPr>
      <w:r>
        <w:t>Strengthening digital rights, enhancing collective management, and enforcing fair contracts are critical steps for sustaining a vibrant creative economy. Protecting performers not only ensures justice and remuneration but also safeguards cultural heritage and artistic integrity.</w:t>
      </w:r>
      <w:r>
        <w:t xml:space="preserve"> </w:t>
      </w:r>
    </w:p>
    <w:p w14:paraId="008DD30B" w14:textId="77777777" w:rsidR="007824DE" w:rsidRDefault="004A6B8A">
      <w:pPr>
        <w:spacing w:after="180" w:line="259" w:lineRule="auto"/>
        <w:ind w:left="0" w:right="0" w:firstLine="0"/>
        <w:jc w:val="left"/>
      </w:pPr>
      <w:r>
        <w:t xml:space="preserve"> </w:t>
      </w:r>
    </w:p>
    <w:p w14:paraId="5BE60A10" w14:textId="77777777" w:rsidR="007824DE" w:rsidRDefault="004A6B8A">
      <w:pPr>
        <w:spacing w:after="400" w:line="259" w:lineRule="auto"/>
        <w:ind w:left="0" w:right="0" w:firstLine="0"/>
        <w:jc w:val="left"/>
      </w:pPr>
      <w:r>
        <w:t xml:space="preserve"> </w:t>
      </w:r>
    </w:p>
    <w:p w14:paraId="231CE314" w14:textId="77777777" w:rsidR="007824DE" w:rsidRDefault="004A6B8A">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14:anchorId="36C669D6" wp14:editId="74D705DD">
                <wp:extent cx="1829054" cy="7620"/>
                <wp:effectExtent l="0" t="0" r="0" b="0"/>
                <wp:docPr id="9981" name="Group 9981"/>
                <wp:cNvGraphicFramePr/>
                <a:graphic xmlns:a="http://schemas.openxmlformats.org/drawingml/2006/main">
                  <a:graphicData uri="http://schemas.microsoft.com/office/word/2010/wordprocessingGroup">
                    <wpg:wgp>
                      <wpg:cNvGrpSpPr/>
                      <wpg:grpSpPr>
                        <a:xfrm>
                          <a:off x="0" y="0"/>
                          <a:ext cx="1829054" cy="7620"/>
                          <a:chOff x="0" y="0"/>
                          <a:chExt cx="1829054" cy="7620"/>
                        </a:xfrm>
                      </wpg:grpSpPr>
                      <wps:wsp>
                        <wps:cNvPr id="11646" name="Shape 11646"/>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9981" style="width:144.02pt;height:0.599976pt;mso-position-horizontal-relative:char;mso-position-vertical-relative:line" coordsize="18290,76">
                <v:shape id="Shape 11647"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Aptos" w:eastAsia="Aptos" w:hAnsi="Aptos" w:cs="Aptos"/>
        </w:rPr>
        <w:t xml:space="preserve"> </w:t>
      </w:r>
    </w:p>
    <w:p w14:paraId="26403E59" w14:textId="77777777" w:rsidR="007824DE" w:rsidRDefault="004A6B8A">
      <w:pPr>
        <w:pStyle w:val="Heading1"/>
        <w:ind w:left="-5"/>
      </w:pPr>
      <w:r>
        <w:t>Bibliography</w:t>
      </w:r>
      <w:r>
        <w:t xml:space="preserve"> </w:t>
      </w:r>
    </w:p>
    <w:p w14:paraId="09A4AC22" w14:textId="77777777" w:rsidR="007824DE" w:rsidRDefault="004A6B8A">
      <w:pPr>
        <w:pStyle w:val="Heading2"/>
        <w:ind w:left="-5"/>
      </w:pPr>
      <w:r>
        <w:t>Primary Sources</w:t>
      </w:r>
      <w:r>
        <w:rPr>
          <w:b w:val="0"/>
        </w:rPr>
        <w:t xml:space="preserve"> </w:t>
      </w:r>
    </w:p>
    <w:p w14:paraId="0D6C58FD" w14:textId="77777777" w:rsidR="007824DE" w:rsidRDefault="004A6B8A">
      <w:pPr>
        <w:numPr>
          <w:ilvl w:val="0"/>
          <w:numId w:val="10"/>
        </w:numPr>
        <w:spacing w:after="169"/>
        <w:ind w:right="0" w:hanging="360"/>
      </w:pPr>
      <w:r>
        <w:t>Copyright Act, 1957 (as amended).</w:t>
      </w:r>
      <w:r>
        <w:t xml:space="preserve"> </w:t>
      </w:r>
    </w:p>
    <w:p w14:paraId="109EA413" w14:textId="77777777" w:rsidR="007824DE" w:rsidRDefault="004A6B8A">
      <w:pPr>
        <w:numPr>
          <w:ilvl w:val="0"/>
          <w:numId w:val="10"/>
        </w:numPr>
        <w:spacing w:after="166"/>
        <w:ind w:right="0" w:hanging="360"/>
      </w:pPr>
      <w:r>
        <w:t>Rome Convention for the Protection of Performers, Producers of Phonograms and Broadcasting Organisations, 1961.</w:t>
      </w:r>
      <w:r>
        <w:t xml:space="preserve"> </w:t>
      </w:r>
    </w:p>
    <w:p w14:paraId="31092F4A" w14:textId="77777777" w:rsidR="007824DE" w:rsidRDefault="004A6B8A">
      <w:pPr>
        <w:numPr>
          <w:ilvl w:val="0"/>
          <w:numId w:val="10"/>
        </w:numPr>
        <w:spacing w:after="169"/>
        <w:ind w:right="0" w:hanging="360"/>
      </w:pPr>
      <w:r>
        <w:t>WIPO Performances and Phonograms Treaty (WPPT), 1996.</w:t>
      </w:r>
      <w:r>
        <w:t xml:space="preserve"> </w:t>
      </w:r>
    </w:p>
    <w:p w14:paraId="4868012D" w14:textId="77777777" w:rsidR="007824DE" w:rsidRDefault="004A6B8A">
      <w:pPr>
        <w:numPr>
          <w:ilvl w:val="0"/>
          <w:numId w:val="10"/>
        </w:numPr>
        <w:spacing w:after="172"/>
        <w:ind w:right="0" w:hanging="360"/>
      </w:pPr>
      <w:r>
        <w:t>Beijing Treaty on Audiovisual Performances, 2012.</w:t>
      </w:r>
      <w:r>
        <w:t xml:space="preserve"> </w:t>
      </w:r>
    </w:p>
    <w:p w14:paraId="5901E646" w14:textId="77777777" w:rsidR="007824DE" w:rsidRDefault="004A6B8A">
      <w:pPr>
        <w:pStyle w:val="Heading2"/>
        <w:ind w:left="-5"/>
      </w:pPr>
      <w:r>
        <w:t>Secondary Sources</w:t>
      </w:r>
      <w:r>
        <w:rPr>
          <w:b w:val="0"/>
        </w:rPr>
        <w:t xml:space="preserve"> </w:t>
      </w:r>
    </w:p>
    <w:p w14:paraId="38EBFDD9" w14:textId="77777777" w:rsidR="007824DE" w:rsidRDefault="004A6B8A">
      <w:pPr>
        <w:numPr>
          <w:ilvl w:val="0"/>
          <w:numId w:val="11"/>
        </w:numPr>
        <w:spacing w:after="187" w:line="278" w:lineRule="auto"/>
        <w:ind w:right="-11" w:hanging="360"/>
        <w:jc w:val="left"/>
      </w:pPr>
      <w:r>
        <w:rPr>
          <w:i/>
        </w:rPr>
        <w:t>Performer’s Rights under Intellectual Property Rights</w:t>
      </w:r>
      <w:r>
        <w:t xml:space="preserve">, Legal Service India, </w:t>
      </w:r>
      <w:hyperlink r:id="rId7">
        <w:r>
          <w:rPr>
            <w:color w:val="467886"/>
            <w:u w:val="single" w:color="467886"/>
          </w:rPr>
          <w:t>https://www.legalserviceindia.com/legal/article</w:t>
        </w:r>
      </w:hyperlink>
      <w:hyperlink r:id="rId8">
        <w:r>
          <w:rPr>
            <w:color w:val="467886"/>
            <w:u w:val="single" w:color="467886"/>
          </w:rPr>
          <w:t>-</w:t>
        </w:r>
      </w:hyperlink>
      <w:hyperlink r:id="rId9">
        <w:r>
          <w:rPr>
            <w:color w:val="467886"/>
            <w:u w:val="single" w:color="467886"/>
          </w:rPr>
          <w:t>10492</w:t>
        </w:r>
      </w:hyperlink>
      <w:hyperlink r:id="rId10">
        <w:r>
          <w:rPr>
            <w:color w:val="467886"/>
            <w:u w:val="single" w:color="467886"/>
          </w:rPr>
          <w:t>-</w:t>
        </w:r>
      </w:hyperlink>
      <w:hyperlink r:id="rId11">
        <w:r>
          <w:rPr>
            <w:color w:val="467886"/>
            <w:u w:val="single" w:color="467886"/>
          </w:rPr>
          <w:t>performer</w:t>
        </w:r>
      </w:hyperlink>
      <w:hyperlink r:id="rId12">
        <w:r>
          <w:rPr>
            <w:color w:val="467886"/>
            <w:u w:val="single" w:color="467886"/>
          </w:rPr>
          <w:t>-</w:t>
        </w:r>
      </w:hyperlink>
      <w:hyperlink r:id="rId13">
        <w:r>
          <w:rPr>
            <w:color w:val="467886"/>
            <w:u w:val="single" w:color="467886"/>
          </w:rPr>
          <w:t>s</w:t>
        </w:r>
      </w:hyperlink>
      <w:hyperlink r:id="rId14">
        <w:r>
          <w:rPr>
            <w:color w:val="467886"/>
            <w:u w:val="single" w:color="467886"/>
          </w:rPr>
          <w:t>-</w:t>
        </w:r>
      </w:hyperlink>
      <w:hyperlink r:id="rId15">
        <w:r>
          <w:rPr>
            <w:color w:val="467886"/>
            <w:u w:val="single" w:color="467886"/>
          </w:rPr>
          <w:t>rights</w:t>
        </w:r>
      </w:hyperlink>
      <w:hyperlink r:id="rId16">
        <w:r>
          <w:rPr>
            <w:color w:val="467886"/>
            <w:u w:val="single" w:color="467886"/>
          </w:rPr>
          <w:t>-</w:t>
        </w:r>
      </w:hyperlink>
      <w:hyperlink r:id="rId17">
        <w:r>
          <w:rPr>
            <w:color w:val="467886"/>
            <w:u w:val="single" w:color="467886"/>
          </w:rPr>
          <w:t>under</w:t>
        </w:r>
      </w:hyperlink>
      <w:hyperlink r:id="rId18"/>
      <w:hyperlink r:id="rId19">
        <w:r>
          <w:rPr>
            <w:color w:val="467886"/>
            <w:u w:val="single" w:color="467886"/>
          </w:rPr>
          <w:t>intellectual</w:t>
        </w:r>
      </w:hyperlink>
      <w:hyperlink r:id="rId20">
        <w:r>
          <w:rPr>
            <w:color w:val="467886"/>
            <w:u w:val="single" w:color="467886"/>
          </w:rPr>
          <w:t>-</w:t>
        </w:r>
      </w:hyperlink>
      <w:hyperlink r:id="rId21">
        <w:r>
          <w:rPr>
            <w:color w:val="467886"/>
            <w:u w:val="single" w:color="467886"/>
          </w:rPr>
          <w:t>property</w:t>
        </w:r>
      </w:hyperlink>
      <w:hyperlink r:id="rId22">
        <w:r>
          <w:rPr>
            <w:color w:val="467886"/>
            <w:u w:val="single" w:color="467886"/>
          </w:rPr>
          <w:t>-</w:t>
        </w:r>
      </w:hyperlink>
      <w:hyperlink r:id="rId23">
        <w:r>
          <w:rPr>
            <w:color w:val="467886"/>
            <w:u w:val="single" w:color="467886"/>
          </w:rPr>
          <w:t>rights.html</w:t>
        </w:r>
      </w:hyperlink>
      <w:hyperlink r:id="rId24">
        <w:r>
          <w:t>.</w:t>
        </w:r>
      </w:hyperlink>
      <w:r>
        <w:t xml:space="preserve"> </w:t>
      </w:r>
    </w:p>
    <w:p w14:paraId="50762F52" w14:textId="77777777" w:rsidR="007824DE" w:rsidRDefault="004A6B8A">
      <w:pPr>
        <w:numPr>
          <w:ilvl w:val="0"/>
          <w:numId w:val="11"/>
        </w:numPr>
        <w:spacing w:after="163" w:line="278" w:lineRule="auto"/>
        <w:ind w:right="-11" w:hanging="360"/>
        <w:jc w:val="left"/>
      </w:pPr>
      <w:r>
        <w:rPr>
          <w:i/>
        </w:rPr>
        <w:t xml:space="preserve">Performers’ </w:t>
      </w:r>
      <w:r>
        <w:rPr>
          <w:i/>
        </w:rPr>
        <w:tab/>
        <w:t xml:space="preserve">Rights </w:t>
      </w:r>
      <w:r>
        <w:rPr>
          <w:i/>
        </w:rPr>
        <w:tab/>
        <w:t xml:space="preserve">under </w:t>
      </w:r>
      <w:r>
        <w:rPr>
          <w:i/>
        </w:rPr>
        <w:tab/>
        <w:t xml:space="preserve">Copyright </w:t>
      </w:r>
      <w:r>
        <w:rPr>
          <w:i/>
        </w:rPr>
        <w:tab/>
        <w:t>Law</w:t>
      </w:r>
      <w:r>
        <w:t xml:space="preserve">, </w:t>
      </w:r>
      <w:r>
        <w:tab/>
        <w:t xml:space="preserve">iPleaders </w:t>
      </w:r>
      <w:r>
        <w:tab/>
        <w:t xml:space="preserve">Blog, </w:t>
      </w:r>
      <w:hyperlink r:id="rId25">
        <w:r>
          <w:rPr>
            <w:color w:val="467886"/>
            <w:u w:val="single" w:color="467886"/>
          </w:rPr>
          <w:t>https://blog.ipleaders.in/performers</w:t>
        </w:r>
      </w:hyperlink>
      <w:hyperlink r:id="rId26">
        <w:r>
          <w:rPr>
            <w:color w:val="467886"/>
            <w:u w:val="single" w:color="467886"/>
          </w:rPr>
          <w:t>-</w:t>
        </w:r>
      </w:hyperlink>
      <w:hyperlink r:id="rId27">
        <w:r>
          <w:rPr>
            <w:color w:val="467886"/>
            <w:u w:val="single" w:color="467886"/>
          </w:rPr>
          <w:t>rights</w:t>
        </w:r>
      </w:hyperlink>
      <w:hyperlink r:id="rId28">
        <w:r>
          <w:rPr>
            <w:color w:val="467886"/>
            <w:u w:val="single" w:color="467886"/>
          </w:rPr>
          <w:t>-</w:t>
        </w:r>
      </w:hyperlink>
      <w:hyperlink r:id="rId29">
        <w:r>
          <w:rPr>
            <w:color w:val="467886"/>
            <w:u w:val="single" w:color="467886"/>
          </w:rPr>
          <w:t>under</w:t>
        </w:r>
      </w:hyperlink>
      <w:hyperlink r:id="rId30">
        <w:r>
          <w:rPr>
            <w:color w:val="467886"/>
            <w:u w:val="single" w:color="467886"/>
          </w:rPr>
          <w:t>-</w:t>
        </w:r>
      </w:hyperlink>
      <w:hyperlink r:id="rId31">
        <w:r>
          <w:rPr>
            <w:color w:val="467886"/>
            <w:u w:val="single" w:color="467886"/>
          </w:rPr>
          <w:t>copyright</w:t>
        </w:r>
      </w:hyperlink>
      <w:hyperlink r:id="rId32">
        <w:r>
          <w:rPr>
            <w:color w:val="467886"/>
            <w:u w:val="single" w:color="467886"/>
          </w:rPr>
          <w:t>-</w:t>
        </w:r>
      </w:hyperlink>
      <w:hyperlink r:id="rId33">
        <w:r>
          <w:rPr>
            <w:color w:val="467886"/>
            <w:u w:val="single" w:color="467886"/>
          </w:rPr>
          <w:t>law/</w:t>
        </w:r>
      </w:hyperlink>
      <w:hyperlink r:id="rId34">
        <w:r>
          <w:t>.</w:t>
        </w:r>
      </w:hyperlink>
      <w:r>
        <w:t xml:space="preserve"> </w:t>
      </w:r>
    </w:p>
    <w:p w14:paraId="61022D2F" w14:textId="77777777" w:rsidR="007824DE" w:rsidRDefault="004A6B8A">
      <w:pPr>
        <w:numPr>
          <w:ilvl w:val="0"/>
          <w:numId w:val="11"/>
        </w:numPr>
        <w:spacing w:after="187" w:line="278" w:lineRule="auto"/>
        <w:ind w:right="-11" w:hanging="360"/>
        <w:jc w:val="left"/>
      </w:pPr>
      <w:r>
        <w:rPr>
          <w:i/>
        </w:rPr>
        <w:t>Rights of Performers and Broadcasters under Copyright Act, 1957</w:t>
      </w:r>
      <w:r>
        <w:t xml:space="preserve">, LawBhoomi, </w:t>
      </w:r>
      <w:hyperlink r:id="rId35">
        <w:r>
          <w:rPr>
            <w:color w:val="467886"/>
            <w:u w:val="single" w:color="467886"/>
          </w:rPr>
          <w:t>https://lawbhoomi.com/rights</w:t>
        </w:r>
      </w:hyperlink>
      <w:hyperlink r:id="rId36">
        <w:r>
          <w:rPr>
            <w:color w:val="467886"/>
            <w:u w:val="single" w:color="467886"/>
          </w:rPr>
          <w:t>-</w:t>
        </w:r>
      </w:hyperlink>
      <w:hyperlink r:id="rId37">
        <w:r>
          <w:rPr>
            <w:color w:val="467886"/>
            <w:u w:val="single" w:color="467886"/>
          </w:rPr>
          <w:t>of</w:t>
        </w:r>
      </w:hyperlink>
      <w:hyperlink r:id="rId38">
        <w:r>
          <w:rPr>
            <w:color w:val="467886"/>
            <w:u w:val="single" w:color="467886"/>
          </w:rPr>
          <w:t>-</w:t>
        </w:r>
      </w:hyperlink>
      <w:hyperlink r:id="rId39">
        <w:r>
          <w:rPr>
            <w:color w:val="467886"/>
            <w:u w:val="single" w:color="467886"/>
          </w:rPr>
          <w:t>performers</w:t>
        </w:r>
      </w:hyperlink>
      <w:hyperlink r:id="rId40">
        <w:r>
          <w:rPr>
            <w:color w:val="467886"/>
            <w:u w:val="single" w:color="467886"/>
          </w:rPr>
          <w:t>-</w:t>
        </w:r>
      </w:hyperlink>
      <w:hyperlink r:id="rId41">
        <w:r>
          <w:rPr>
            <w:color w:val="467886"/>
            <w:u w:val="single" w:color="467886"/>
          </w:rPr>
          <w:t>and</w:t>
        </w:r>
      </w:hyperlink>
      <w:hyperlink r:id="rId42">
        <w:r>
          <w:rPr>
            <w:color w:val="467886"/>
            <w:u w:val="single" w:color="467886"/>
          </w:rPr>
          <w:t>-</w:t>
        </w:r>
      </w:hyperlink>
      <w:hyperlink r:id="rId43">
        <w:r>
          <w:rPr>
            <w:color w:val="467886"/>
            <w:u w:val="single" w:color="467886"/>
          </w:rPr>
          <w:t>broadcasters</w:t>
        </w:r>
      </w:hyperlink>
      <w:hyperlink r:id="rId44">
        <w:r>
          <w:rPr>
            <w:color w:val="467886"/>
            <w:u w:val="single" w:color="467886"/>
          </w:rPr>
          <w:t>-</w:t>
        </w:r>
      </w:hyperlink>
      <w:hyperlink r:id="rId45">
        <w:r>
          <w:rPr>
            <w:color w:val="467886"/>
            <w:u w:val="single" w:color="467886"/>
          </w:rPr>
          <w:t>rights</w:t>
        </w:r>
      </w:hyperlink>
      <w:hyperlink r:id="rId46">
        <w:r>
          <w:rPr>
            <w:color w:val="467886"/>
            <w:u w:val="single" w:color="467886"/>
          </w:rPr>
          <w:t>-</w:t>
        </w:r>
      </w:hyperlink>
      <w:hyperlink r:id="rId47">
        <w:r>
          <w:rPr>
            <w:color w:val="467886"/>
            <w:u w:val="single" w:color="467886"/>
          </w:rPr>
          <w:t>under</w:t>
        </w:r>
      </w:hyperlink>
      <w:hyperlink r:id="rId48">
        <w:r>
          <w:rPr>
            <w:color w:val="467886"/>
            <w:u w:val="single" w:color="467886"/>
          </w:rPr>
          <w:t>-</w:t>
        </w:r>
      </w:hyperlink>
      <w:hyperlink r:id="rId49">
        <w:r>
          <w:rPr>
            <w:color w:val="467886"/>
            <w:u w:val="single" w:color="467886"/>
          </w:rPr>
          <w:t>copyright</w:t>
        </w:r>
      </w:hyperlink>
      <w:hyperlink r:id="rId50"/>
      <w:hyperlink r:id="rId51">
        <w:r>
          <w:rPr>
            <w:color w:val="467886"/>
            <w:u w:val="single" w:color="467886"/>
          </w:rPr>
          <w:t>act</w:t>
        </w:r>
      </w:hyperlink>
      <w:hyperlink r:id="rId52">
        <w:r>
          <w:rPr>
            <w:color w:val="467886"/>
            <w:u w:val="single" w:color="467886"/>
          </w:rPr>
          <w:t>-</w:t>
        </w:r>
      </w:hyperlink>
      <w:hyperlink r:id="rId53">
        <w:r>
          <w:rPr>
            <w:color w:val="467886"/>
            <w:u w:val="single" w:color="467886"/>
          </w:rPr>
          <w:t>1957/</w:t>
        </w:r>
      </w:hyperlink>
      <w:hyperlink r:id="rId54">
        <w:r>
          <w:t>.</w:t>
        </w:r>
      </w:hyperlink>
      <w:r>
        <w:t xml:space="preserve"> </w:t>
      </w:r>
    </w:p>
    <w:p w14:paraId="2B8C6075" w14:textId="77777777" w:rsidR="007824DE" w:rsidRDefault="004A6B8A">
      <w:pPr>
        <w:numPr>
          <w:ilvl w:val="0"/>
          <w:numId w:val="11"/>
        </w:numPr>
        <w:spacing w:after="163" w:line="278" w:lineRule="auto"/>
        <w:ind w:right="-11" w:hanging="360"/>
        <w:jc w:val="left"/>
      </w:pPr>
      <w:r>
        <w:t xml:space="preserve">JETIR </w:t>
      </w:r>
      <w:r>
        <w:tab/>
        <w:t xml:space="preserve">Research </w:t>
      </w:r>
      <w:r>
        <w:tab/>
        <w:t xml:space="preserve">Paper, </w:t>
      </w:r>
      <w:r>
        <w:tab/>
      </w:r>
      <w:r>
        <w:rPr>
          <w:i/>
        </w:rPr>
        <w:t xml:space="preserve">Performer’s </w:t>
      </w:r>
      <w:r>
        <w:rPr>
          <w:i/>
        </w:rPr>
        <w:tab/>
        <w:t>Rights</w:t>
      </w:r>
      <w:r>
        <w:t xml:space="preserve">, </w:t>
      </w:r>
      <w:hyperlink r:id="rId55">
        <w:r>
          <w:rPr>
            <w:color w:val="467886"/>
            <w:u w:val="single" w:color="467886"/>
          </w:rPr>
          <w:t>https://www.jetir.org/papers/JETIR2403852.pdf</w:t>
        </w:r>
      </w:hyperlink>
      <w:hyperlink r:id="rId56">
        <w:r>
          <w:t>.</w:t>
        </w:r>
      </w:hyperlink>
      <w:r>
        <w:t xml:space="preserve"> </w:t>
      </w:r>
    </w:p>
    <w:p w14:paraId="435D3010" w14:textId="77777777" w:rsidR="007824DE" w:rsidRDefault="004A6B8A">
      <w:pPr>
        <w:pStyle w:val="Heading2"/>
        <w:ind w:left="-5"/>
      </w:pPr>
      <w:r>
        <w:t>Academic References</w:t>
      </w:r>
      <w:r>
        <w:rPr>
          <w:b w:val="0"/>
        </w:rPr>
        <w:t xml:space="preserve"> </w:t>
      </w:r>
    </w:p>
    <w:p w14:paraId="69099B32" w14:textId="77777777" w:rsidR="007824DE" w:rsidRDefault="004A6B8A">
      <w:pPr>
        <w:numPr>
          <w:ilvl w:val="0"/>
          <w:numId w:val="12"/>
        </w:numPr>
        <w:spacing w:after="169"/>
        <w:ind w:right="0" w:hanging="360"/>
        <w:jc w:val="left"/>
      </w:pPr>
      <w:r>
        <w:t xml:space="preserve">Bainbridge, David. </w:t>
      </w:r>
      <w:r>
        <w:rPr>
          <w:i/>
        </w:rPr>
        <w:t>Intellectual Property</w:t>
      </w:r>
      <w:r>
        <w:t>. Pearson.</w:t>
      </w:r>
      <w:r>
        <w:t xml:space="preserve"> </w:t>
      </w:r>
    </w:p>
    <w:p w14:paraId="3093AEA6" w14:textId="77777777" w:rsidR="007824DE" w:rsidRDefault="004A6B8A">
      <w:pPr>
        <w:numPr>
          <w:ilvl w:val="0"/>
          <w:numId w:val="12"/>
        </w:numPr>
        <w:spacing w:after="161" w:line="276" w:lineRule="auto"/>
        <w:ind w:right="0" w:hanging="360"/>
        <w:jc w:val="left"/>
      </w:pPr>
      <w:r>
        <w:t xml:space="preserve">Cornish, William et al. </w:t>
      </w:r>
      <w:r>
        <w:rPr>
          <w:i/>
        </w:rPr>
        <w:t>Intellectual Property: Patents, Copyright, Trade Marks and Allied Rights</w:t>
      </w:r>
      <w:r>
        <w:t>. Sweet &amp; Maxwell.</w:t>
      </w:r>
      <w:r>
        <w:t xml:space="preserve"> </w:t>
      </w:r>
    </w:p>
    <w:p w14:paraId="2C9FD5D8" w14:textId="77777777" w:rsidR="007824DE" w:rsidRDefault="004A6B8A">
      <w:pPr>
        <w:spacing w:after="0" w:line="259" w:lineRule="auto"/>
        <w:ind w:left="0" w:right="0" w:firstLine="0"/>
        <w:jc w:val="left"/>
      </w:pPr>
      <w:r>
        <w:t xml:space="preserve"> </w:t>
      </w:r>
    </w:p>
    <w:sectPr w:rsidR="007824DE">
      <w:pgSz w:w="11906" w:h="16838"/>
      <w:pgMar w:top="1497" w:right="1435" w:bottom="1438"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7806E6" w14:textId="77777777" w:rsidR="004A6B8A" w:rsidRDefault="004A6B8A">
      <w:pPr>
        <w:spacing w:after="0" w:line="240" w:lineRule="auto"/>
      </w:pPr>
      <w:r>
        <w:separator/>
      </w:r>
    </w:p>
  </w:endnote>
  <w:endnote w:type="continuationSeparator" w:id="0">
    <w:p w14:paraId="7E80FA64" w14:textId="77777777" w:rsidR="004A6B8A" w:rsidRDefault="004A6B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43" w:usb2="00000009" w:usb3="00000000" w:csb0="000001FF" w:csb1="00000000"/>
  </w:font>
  <w:font w:name="Segoe UI Symbol">
    <w:panose1 w:val="020B0502040204020203"/>
    <w:charset w:val="00"/>
    <w:family w:val="swiss"/>
    <w:pitch w:val="variable"/>
    <w:sig w:usb0="800001E3" w:usb1="1200FFEF" w:usb2="0064C000" w:usb3="00000000" w:csb0="00000001"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02FF" w:usb1="4000ACFF" w:usb2="00000001" w:usb3="00000000" w:csb0="0000019F" w:csb1="00000000"/>
  </w:font>
  <w:font w:name="Aptos Display">
    <w:panose1 w:val="020B00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860975" w14:textId="77777777" w:rsidR="007824DE" w:rsidRDefault="004A6B8A">
      <w:pPr>
        <w:spacing w:after="149" w:line="296" w:lineRule="auto"/>
        <w:ind w:left="0" w:right="0" w:firstLine="0"/>
        <w:jc w:val="left"/>
      </w:pPr>
      <w:r>
        <w:separator/>
      </w:r>
    </w:p>
  </w:footnote>
  <w:footnote w:type="continuationSeparator" w:id="0">
    <w:p w14:paraId="135D156C" w14:textId="77777777" w:rsidR="007824DE" w:rsidRDefault="004A6B8A">
      <w:pPr>
        <w:spacing w:after="149" w:line="296" w:lineRule="auto"/>
        <w:ind w:left="0" w:right="0" w:firstLine="0"/>
        <w:jc w:val="left"/>
      </w:pPr>
      <w:r>
        <w:continuationSeparator/>
      </w:r>
    </w:p>
  </w:footnote>
  <w:footnote w:id="1">
    <w:p w14:paraId="451A45AE" w14:textId="77777777" w:rsidR="007824DE" w:rsidRDefault="004A6B8A">
      <w:pPr>
        <w:pStyle w:val="footnotedescription"/>
        <w:spacing w:after="149" w:line="296" w:lineRule="auto"/>
      </w:pPr>
      <w:r>
        <w:rPr>
          <w:rStyle w:val="footnotemark"/>
        </w:rPr>
        <w:footnoteRef/>
      </w:r>
      <w:r>
        <w:t xml:space="preserve"> </w:t>
      </w:r>
      <w:r>
        <w:rPr>
          <w:i/>
        </w:rPr>
        <w:t>Performers’ Rights under Copyright Law</w:t>
      </w:r>
      <w:r>
        <w:t xml:space="preserve">, iPleaders Blog, </w:t>
      </w:r>
      <w:hyperlink r:id="rId1">
        <w:r>
          <w:rPr>
            <w:color w:val="467886"/>
            <w:u w:val="single" w:color="467886"/>
          </w:rPr>
          <w:t>https://blog.ipleaders.in/performers</w:t>
        </w:r>
      </w:hyperlink>
      <w:hyperlink r:id="rId2">
        <w:r>
          <w:rPr>
            <w:color w:val="467886"/>
            <w:u w:val="single" w:color="467886"/>
          </w:rPr>
          <w:t>-</w:t>
        </w:r>
      </w:hyperlink>
      <w:hyperlink r:id="rId3">
        <w:r>
          <w:rPr>
            <w:color w:val="467886"/>
            <w:u w:val="single" w:color="467886"/>
          </w:rPr>
          <w:t>rights</w:t>
        </w:r>
      </w:hyperlink>
      <w:hyperlink r:id="rId4">
        <w:r>
          <w:rPr>
            <w:color w:val="467886"/>
            <w:u w:val="single" w:color="467886"/>
          </w:rPr>
          <w:t>-</w:t>
        </w:r>
      </w:hyperlink>
      <w:hyperlink r:id="rId5">
        <w:r>
          <w:rPr>
            <w:color w:val="467886"/>
            <w:u w:val="single" w:color="467886"/>
          </w:rPr>
          <w:t>under</w:t>
        </w:r>
      </w:hyperlink>
      <w:hyperlink r:id="rId6">
        <w:r>
          <w:rPr>
            <w:color w:val="467886"/>
            <w:u w:val="single" w:color="467886"/>
          </w:rPr>
          <w:t>-</w:t>
        </w:r>
      </w:hyperlink>
      <w:hyperlink r:id="rId7">
        <w:r>
          <w:rPr>
            <w:color w:val="467886"/>
            <w:u w:val="single" w:color="467886"/>
          </w:rPr>
          <w:t>copyright</w:t>
        </w:r>
      </w:hyperlink>
      <w:hyperlink r:id="rId8">
        <w:r>
          <w:rPr>
            <w:color w:val="467886"/>
            <w:u w:val="single" w:color="467886"/>
          </w:rPr>
          <w:t>-</w:t>
        </w:r>
      </w:hyperlink>
      <w:hyperlink r:id="rId9">
        <w:r>
          <w:rPr>
            <w:color w:val="467886"/>
            <w:u w:val="single" w:color="467886"/>
          </w:rPr>
          <w:t>law/</w:t>
        </w:r>
      </w:hyperlink>
      <w:hyperlink r:id="rId10">
        <w:r>
          <w:t>.</w:t>
        </w:r>
      </w:hyperlink>
      <w:r>
        <w:t xml:space="preserve"> </w:t>
      </w:r>
    </w:p>
  </w:footnote>
  <w:footnote w:id="2">
    <w:p w14:paraId="1BF00672" w14:textId="77777777" w:rsidR="007824DE" w:rsidRDefault="004A6B8A">
      <w:pPr>
        <w:pStyle w:val="footnotedescription"/>
        <w:spacing w:after="0" w:line="286" w:lineRule="auto"/>
      </w:pPr>
      <w:r>
        <w:rPr>
          <w:rStyle w:val="footnotemark"/>
        </w:rPr>
        <w:footnoteRef/>
      </w:r>
      <w:r>
        <w:t xml:space="preserve"> </w:t>
      </w:r>
      <w:r>
        <w:rPr>
          <w:i/>
        </w:rPr>
        <w:t>Rights of Performers and Broadcasters under Copyright Act, 1957</w:t>
      </w:r>
      <w:r>
        <w:t xml:space="preserve">, LawBhoomi, </w:t>
      </w:r>
      <w:hyperlink r:id="rId11">
        <w:r>
          <w:rPr>
            <w:color w:val="467886"/>
            <w:u w:val="single" w:color="467886"/>
          </w:rPr>
          <w:t>https://lawbhoomi.com/rights</w:t>
        </w:r>
      </w:hyperlink>
      <w:hyperlink r:id="rId12">
        <w:r>
          <w:rPr>
            <w:color w:val="467886"/>
            <w:u w:val="single" w:color="467886"/>
          </w:rPr>
          <w:t>-</w:t>
        </w:r>
      </w:hyperlink>
      <w:hyperlink r:id="rId13">
        <w:r>
          <w:rPr>
            <w:color w:val="467886"/>
            <w:u w:val="single" w:color="467886"/>
          </w:rPr>
          <w:t>of</w:t>
        </w:r>
      </w:hyperlink>
      <w:hyperlink r:id="rId14">
        <w:r>
          <w:rPr>
            <w:color w:val="467886"/>
            <w:u w:val="single" w:color="467886"/>
          </w:rPr>
          <w:t>-</w:t>
        </w:r>
      </w:hyperlink>
      <w:hyperlink r:id="rId15">
        <w:r>
          <w:rPr>
            <w:color w:val="467886"/>
            <w:u w:val="single" w:color="467886"/>
          </w:rPr>
          <w:t>performers</w:t>
        </w:r>
      </w:hyperlink>
      <w:hyperlink r:id="rId16">
        <w:r>
          <w:rPr>
            <w:color w:val="467886"/>
            <w:u w:val="single" w:color="467886"/>
          </w:rPr>
          <w:t>-</w:t>
        </w:r>
      </w:hyperlink>
      <w:hyperlink r:id="rId17">
        <w:r>
          <w:rPr>
            <w:color w:val="467886"/>
            <w:u w:val="single" w:color="467886"/>
          </w:rPr>
          <w:t>and</w:t>
        </w:r>
      </w:hyperlink>
      <w:hyperlink r:id="rId18">
        <w:r>
          <w:rPr>
            <w:color w:val="467886"/>
            <w:u w:val="single" w:color="467886"/>
          </w:rPr>
          <w:t>-</w:t>
        </w:r>
      </w:hyperlink>
      <w:hyperlink r:id="rId19">
        <w:r>
          <w:rPr>
            <w:color w:val="467886"/>
            <w:u w:val="single" w:color="467886"/>
          </w:rPr>
          <w:t>broadcasters</w:t>
        </w:r>
      </w:hyperlink>
      <w:hyperlink r:id="rId20">
        <w:r>
          <w:rPr>
            <w:color w:val="467886"/>
            <w:u w:val="single" w:color="467886"/>
          </w:rPr>
          <w:t>-</w:t>
        </w:r>
      </w:hyperlink>
      <w:hyperlink r:id="rId21">
        <w:r>
          <w:rPr>
            <w:color w:val="467886"/>
            <w:u w:val="single" w:color="467886"/>
          </w:rPr>
          <w:t>rights</w:t>
        </w:r>
      </w:hyperlink>
      <w:hyperlink r:id="rId22">
        <w:r>
          <w:rPr>
            <w:color w:val="467886"/>
            <w:u w:val="single" w:color="467886"/>
          </w:rPr>
          <w:t>-</w:t>
        </w:r>
      </w:hyperlink>
      <w:hyperlink r:id="rId23">
        <w:r>
          <w:rPr>
            <w:color w:val="467886"/>
            <w:u w:val="single" w:color="467886"/>
          </w:rPr>
          <w:t>under</w:t>
        </w:r>
      </w:hyperlink>
      <w:hyperlink r:id="rId24">
        <w:r>
          <w:rPr>
            <w:color w:val="467886"/>
            <w:u w:val="single" w:color="467886"/>
          </w:rPr>
          <w:t>-</w:t>
        </w:r>
      </w:hyperlink>
      <w:hyperlink r:id="rId25">
        <w:r>
          <w:rPr>
            <w:color w:val="467886"/>
            <w:u w:val="single" w:color="467886"/>
          </w:rPr>
          <w:t>copyright</w:t>
        </w:r>
      </w:hyperlink>
      <w:hyperlink r:id="rId26">
        <w:r>
          <w:rPr>
            <w:color w:val="467886"/>
            <w:u w:val="single" w:color="467886"/>
          </w:rPr>
          <w:t>-</w:t>
        </w:r>
      </w:hyperlink>
      <w:hyperlink r:id="rId27">
        <w:r>
          <w:rPr>
            <w:color w:val="467886"/>
            <w:u w:val="single" w:color="467886"/>
          </w:rPr>
          <w:t>act</w:t>
        </w:r>
      </w:hyperlink>
      <w:hyperlink r:id="rId28"/>
      <w:hyperlink r:id="rId29">
        <w:r>
          <w:rPr>
            <w:color w:val="467886"/>
            <w:u w:val="single" w:color="467886"/>
          </w:rPr>
          <w:t>1957/</w:t>
        </w:r>
      </w:hyperlink>
      <w:hyperlink r:id="rId30">
        <w:r>
          <w:t>.</w:t>
        </w:r>
      </w:hyperlink>
      <w:r>
        <w:t xml:space="preserve"> </w:t>
      </w:r>
    </w:p>
  </w:footnote>
  <w:footnote w:id="3">
    <w:p w14:paraId="6233FBE9" w14:textId="77777777" w:rsidR="007824DE" w:rsidRDefault="004A6B8A">
      <w:pPr>
        <w:pStyle w:val="footnotedescription"/>
        <w:spacing w:after="230"/>
      </w:pPr>
      <w:r>
        <w:rPr>
          <w:rStyle w:val="footnotemark"/>
        </w:rPr>
        <w:footnoteRef/>
      </w:r>
      <w:r>
        <w:t xml:space="preserve"> Copyright Act, 1957 (as amended), Section 2(qq).</w:t>
      </w:r>
      <w:r>
        <w:t xml:space="preserve"> </w:t>
      </w:r>
    </w:p>
  </w:footnote>
  <w:footnote w:id="4">
    <w:p w14:paraId="7F53F1D5" w14:textId="77777777" w:rsidR="007824DE" w:rsidRDefault="004A6B8A">
      <w:pPr>
        <w:pStyle w:val="footnotedescription"/>
        <w:spacing w:after="218"/>
      </w:pPr>
      <w:r>
        <w:rPr>
          <w:rStyle w:val="footnotemark"/>
        </w:rPr>
        <w:footnoteRef/>
      </w:r>
      <w:r>
        <w:t xml:space="preserve"> JETIR Research Paper, </w:t>
      </w:r>
      <w:r>
        <w:rPr>
          <w:i/>
        </w:rPr>
        <w:t>Performer’s Rights</w:t>
      </w:r>
      <w:r>
        <w:t xml:space="preserve">, </w:t>
      </w:r>
      <w:hyperlink r:id="rId31">
        <w:r>
          <w:rPr>
            <w:color w:val="467886"/>
            <w:u w:val="single" w:color="467886"/>
          </w:rPr>
          <w:t>https://www.jetir.org/papers/JETIR2403852.pdf</w:t>
        </w:r>
      </w:hyperlink>
      <w:hyperlink r:id="rId32">
        <w:r>
          <w:t>.</w:t>
        </w:r>
      </w:hyperlink>
      <w:r>
        <w:t xml:space="preserve"> </w:t>
      </w:r>
      <w:r>
        <w:rPr>
          <w:vertAlign w:val="superscript"/>
        </w:rPr>
        <w:t>5</w:t>
      </w:r>
      <w:r>
        <w:t xml:space="preserve"> Copyright Act, 1957, Section 2(qq).</w:t>
      </w:r>
      <w:r>
        <w:t xml:space="preserve"> </w:t>
      </w:r>
    </w:p>
  </w:footnote>
  <w:footnote w:id="5">
    <w:p w14:paraId="52717090" w14:textId="77777777" w:rsidR="007824DE" w:rsidRDefault="004A6B8A">
      <w:pPr>
        <w:pStyle w:val="footnotedescription"/>
        <w:spacing w:after="0" w:line="286" w:lineRule="auto"/>
      </w:pPr>
      <w:r>
        <w:rPr>
          <w:rStyle w:val="footnotemark"/>
        </w:rPr>
        <w:footnoteRef/>
      </w:r>
      <w:r>
        <w:t xml:space="preserve"> </w:t>
      </w:r>
      <w:r>
        <w:rPr>
          <w:i/>
        </w:rPr>
        <w:t>Performer’s Rights under Intellectual Property Rights</w:t>
      </w:r>
      <w:r>
        <w:t xml:space="preserve">, Legal Service India, </w:t>
      </w:r>
      <w:hyperlink r:id="rId33">
        <w:r>
          <w:rPr>
            <w:color w:val="467886"/>
            <w:u w:val="single" w:color="467886"/>
          </w:rPr>
          <w:t>https://www.legalserviceindia.com/legal/article</w:t>
        </w:r>
      </w:hyperlink>
      <w:hyperlink r:id="rId34">
        <w:r>
          <w:rPr>
            <w:color w:val="467886"/>
            <w:u w:val="single" w:color="467886"/>
          </w:rPr>
          <w:t>-</w:t>
        </w:r>
      </w:hyperlink>
      <w:hyperlink r:id="rId35">
        <w:r>
          <w:rPr>
            <w:color w:val="467886"/>
            <w:u w:val="single" w:color="467886"/>
          </w:rPr>
          <w:t>10492</w:t>
        </w:r>
      </w:hyperlink>
      <w:hyperlink r:id="rId36">
        <w:r>
          <w:rPr>
            <w:color w:val="467886"/>
            <w:u w:val="single" w:color="467886"/>
          </w:rPr>
          <w:t>-</w:t>
        </w:r>
      </w:hyperlink>
      <w:hyperlink r:id="rId37">
        <w:r>
          <w:rPr>
            <w:color w:val="467886"/>
            <w:u w:val="single" w:color="467886"/>
          </w:rPr>
          <w:t>performer</w:t>
        </w:r>
      </w:hyperlink>
      <w:hyperlink r:id="rId38">
        <w:r>
          <w:rPr>
            <w:color w:val="467886"/>
            <w:u w:val="single" w:color="467886"/>
          </w:rPr>
          <w:t>-</w:t>
        </w:r>
      </w:hyperlink>
      <w:hyperlink r:id="rId39">
        <w:r>
          <w:rPr>
            <w:color w:val="467886"/>
            <w:u w:val="single" w:color="467886"/>
          </w:rPr>
          <w:t>s</w:t>
        </w:r>
      </w:hyperlink>
      <w:hyperlink r:id="rId40">
        <w:r>
          <w:rPr>
            <w:color w:val="467886"/>
            <w:u w:val="single" w:color="467886"/>
          </w:rPr>
          <w:t>-</w:t>
        </w:r>
      </w:hyperlink>
      <w:hyperlink r:id="rId41">
        <w:r>
          <w:rPr>
            <w:color w:val="467886"/>
            <w:u w:val="single" w:color="467886"/>
          </w:rPr>
          <w:t>rights</w:t>
        </w:r>
      </w:hyperlink>
      <w:hyperlink r:id="rId42">
        <w:r>
          <w:rPr>
            <w:color w:val="467886"/>
            <w:u w:val="single" w:color="467886"/>
          </w:rPr>
          <w:t>-</w:t>
        </w:r>
      </w:hyperlink>
      <w:hyperlink r:id="rId43">
        <w:r>
          <w:rPr>
            <w:color w:val="467886"/>
            <w:u w:val="single" w:color="467886"/>
          </w:rPr>
          <w:t>under</w:t>
        </w:r>
      </w:hyperlink>
      <w:hyperlink r:id="rId44">
        <w:r>
          <w:rPr>
            <w:color w:val="467886"/>
            <w:u w:val="single" w:color="467886"/>
          </w:rPr>
          <w:t>-</w:t>
        </w:r>
      </w:hyperlink>
      <w:hyperlink r:id="rId45">
        <w:r>
          <w:rPr>
            <w:color w:val="467886"/>
            <w:u w:val="single" w:color="467886"/>
          </w:rPr>
          <w:t>intellectual</w:t>
        </w:r>
      </w:hyperlink>
      <w:hyperlink r:id="rId46"/>
      <w:hyperlink r:id="rId47">
        <w:r>
          <w:rPr>
            <w:color w:val="467886"/>
            <w:u w:val="single" w:color="467886"/>
          </w:rPr>
          <w:t>property</w:t>
        </w:r>
      </w:hyperlink>
      <w:hyperlink r:id="rId48">
        <w:r>
          <w:rPr>
            <w:color w:val="467886"/>
            <w:u w:val="single" w:color="467886"/>
          </w:rPr>
          <w:t>-</w:t>
        </w:r>
      </w:hyperlink>
      <w:hyperlink r:id="rId49">
        <w:r>
          <w:rPr>
            <w:color w:val="467886"/>
            <w:u w:val="single" w:color="467886"/>
          </w:rPr>
          <w:t>rights.html</w:t>
        </w:r>
      </w:hyperlink>
      <w:hyperlink r:id="rId50">
        <w:r>
          <w:t>.</w:t>
        </w:r>
      </w:hyperlink>
      <w:r>
        <w:t xml:space="preserve"> </w:t>
      </w:r>
    </w:p>
  </w:footnote>
  <w:footnote w:id="6">
    <w:p w14:paraId="64F82BA3" w14:textId="77777777" w:rsidR="007824DE" w:rsidRDefault="004A6B8A">
      <w:pPr>
        <w:pStyle w:val="footnotedescription"/>
        <w:spacing w:after="49"/>
      </w:pPr>
      <w:r>
        <w:rPr>
          <w:rStyle w:val="footnotemark"/>
        </w:rPr>
        <w:footnoteRef/>
      </w:r>
      <w:r>
        <w:t xml:space="preserve"> </w:t>
      </w:r>
      <w:r>
        <w:rPr>
          <w:i/>
          <w:sz w:val="20"/>
        </w:rPr>
        <w:t>Rights of Performers and Broadcasters under Copyright Act, 1957</w:t>
      </w:r>
      <w:r>
        <w:rPr>
          <w:sz w:val="20"/>
        </w:rPr>
        <w:t>, LawBhoomi.</w:t>
      </w:r>
      <w:r>
        <w:rPr>
          <w:sz w:val="20"/>
        </w:rPr>
        <w:t xml:space="preserve"> </w:t>
      </w:r>
    </w:p>
  </w:footnote>
  <w:footnote w:id="7">
    <w:p w14:paraId="1FAEF890" w14:textId="77777777" w:rsidR="007824DE" w:rsidRDefault="004A6B8A">
      <w:pPr>
        <w:pStyle w:val="footnotedescription"/>
        <w:spacing w:after="150" w:line="295" w:lineRule="auto"/>
      </w:pPr>
      <w:r>
        <w:rPr>
          <w:rStyle w:val="footnotemark"/>
        </w:rPr>
        <w:footnoteRef/>
      </w:r>
      <w:r>
        <w:t xml:space="preserve"> JETIR Research Paper, </w:t>
      </w:r>
      <w:r>
        <w:rPr>
          <w:i/>
        </w:rPr>
        <w:t>Performer’s Rights</w:t>
      </w:r>
      <w:r>
        <w:t xml:space="preserve">, </w:t>
      </w:r>
      <w:hyperlink r:id="rId51">
        <w:r>
          <w:rPr>
            <w:color w:val="467886"/>
            <w:u w:val="single" w:color="467886"/>
          </w:rPr>
          <w:t>https://www.jetir.org/papers/JETIR2403852.pdf</w:t>
        </w:r>
      </w:hyperlink>
      <w:hyperlink r:id="rId52">
        <w:r>
          <w:t>.</w:t>
        </w:r>
      </w:hyperlink>
      <w:r>
        <w:t xml:space="preserve"> </w:t>
      </w:r>
    </w:p>
  </w:footnote>
  <w:footnote w:id="8">
    <w:p w14:paraId="168278D1" w14:textId="77777777" w:rsidR="007824DE" w:rsidRDefault="004A6B8A">
      <w:pPr>
        <w:pStyle w:val="footnotedescription"/>
        <w:spacing w:after="0"/>
      </w:pPr>
      <w:r>
        <w:rPr>
          <w:rStyle w:val="footnotemark"/>
        </w:rPr>
        <w:footnoteRef/>
      </w:r>
      <w:r>
        <w:t xml:space="preserve"> Copyright (Amendment) Act, 1994.</w:t>
      </w:r>
      <w:r>
        <w:t xml:space="preserve"> </w:t>
      </w:r>
    </w:p>
  </w:footnote>
  <w:footnote w:id="9">
    <w:p w14:paraId="2661AEDD" w14:textId="77777777" w:rsidR="007824DE" w:rsidRDefault="004A6B8A">
      <w:pPr>
        <w:pStyle w:val="footnotedescription"/>
        <w:spacing w:after="50"/>
      </w:pPr>
      <w:r>
        <w:rPr>
          <w:rStyle w:val="footnotemark"/>
        </w:rPr>
        <w:footnoteRef/>
      </w:r>
      <w:r>
        <w:t xml:space="preserve"> </w:t>
      </w:r>
      <w:r>
        <w:rPr>
          <w:sz w:val="20"/>
        </w:rPr>
        <w:t>Copyright (Amendment) Act, 2012.</w:t>
      </w:r>
      <w:r>
        <w:rPr>
          <w:sz w:val="20"/>
        </w:rPr>
        <w:t xml:space="preserve"> </w:t>
      </w:r>
    </w:p>
  </w:footnote>
  <w:footnote w:id="10">
    <w:p w14:paraId="0C7E0BF6" w14:textId="77777777" w:rsidR="007824DE" w:rsidRDefault="004A6B8A">
      <w:pPr>
        <w:pStyle w:val="footnotedescription"/>
        <w:spacing w:after="218"/>
      </w:pPr>
      <w:r>
        <w:rPr>
          <w:rStyle w:val="footnotemark"/>
        </w:rPr>
        <w:footnoteRef/>
      </w:r>
      <w:r>
        <w:t xml:space="preserve"> Copyright Act, 1957, Section 38B(1).</w:t>
      </w:r>
      <w:r>
        <w:t xml:space="preserve"> </w:t>
      </w:r>
    </w:p>
  </w:footnote>
  <w:footnote w:id="11">
    <w:p w14:paraId="5A9D8E45" w14:textId="77777777" w:rsidR="007824DE" w:rsidRDefault="004A6B8A">
      <w:pPr>
        <w:pStyle w:val="footnotedescription"/>
        <w:spacing w:after="226"/>
      </w:pPr>
      <w:r>
        <w:rPr>
          <w:rStyle w:val="footnotemark"/>
        </w:rPr>
        <w:footnoteRef/>
      </w:r>
      <w:r>
        <w:t xml:space="preserve"> Ibid., Section 38B(2).</w:t>
      </w:r>
      <w:r>
        <w:t xml:space="preserve"> </w:t>
      </w:r>
    </w:p>
  </w:footnote>
  <w:footnote w:id="12">
    <w:p w14:paraId="6967C5DB" w14:textId="77777777" w:rsidR="007824DE" w:rsidRDefault="004A6B8A">
      <w:pPr>
        <w:pStyle w:val="footnotedescription"/>
        <w:spacing w:after="213"/>
      </w:pPr>
      <w:r>
        <w:rPr>
          <w:rStyle w:val="footnotemark"/>
        </w:rPr>
        <w:footnoteRef/>
      </w:r>
      <w:r>
        <w:t xml:space="preserve"> Ibid., Section 38B(3).</w:t>
      </w:r>
      <w:r>
        <w:t xml:space="preserve"> </w:t>
      </w:r>
    </w:p>
  </w:footnote>
  <w:footnote w:id="13">
    <w:p w14:paraId="4D1E45C3" w14:textId="77777777" w:rsidR="007824DE" w:rsidRDefault="004A6B8A">
      <w:pPr>
        <w:pStyle w:val="footnotedescription"/>
        <w:spacing w:after="221"/>
      </w:pPr>
      <w:r>
        <w:rPr>
          <w:rStyle w:val="footnotemark"/>
        </w:rPr>
        <w:footnoteRef/>
      </w:r>
      <w:r>
        <w:t xml:space="preserve"> Ibid., Section 38B(4).</w:t>
      </w:r>
      <w:r>
        <w:t xml:space="preserve"> </w:t>
      </w:r>
    </w:p>
  </w:footnote>
  <w:footnote w:id="14">
    <w:p w14:paraId="1D673690" w14:textId="77777777" w:rsidR="007824DE" w:rsidRDefault="004A6B8A">
      <w:pPr>
        <w:pStyle w:val="footnotedescription"/>
        <w:spacing w:after="227"/>
      </w:pPr>
      <w:r>
        <w:rPr>
          <w:rStyle w:val="footnotemark"/>
        </w:rPr>
        <w:footnoteRef/>
      </w:r>
      <w:r>
        <w:t xml:space="preserve"> Ibid., Section 38B(5).</w:t>
      </w:r>
      <w:r>
        <w:t xml:space="preserve"> </w:t>
      </w:r>
    </w:p>
  </w:footnote>
  <w:footnote w:id="15">
    <w:p w14:paraId="1BA4FB4C" w14:textId="77777777" w:rsidR="007824DE" w:rsidRDefault="004A6B8A">
      <w:pPr>
        <w:pStyle w:val="footnotedescription"/>
        <w:spacing w:after="0"/>
      </w:pPr>
      <w:r>
        <w:rPr>
          <w:rStyle w:val="footnotemark"/>
        </w:rPr>
        <w:footnoteRef/>
      </w:r>
      <w:r>
        <w:t xml:space="preserve"> </w:t>
      </w:r>
      <w:r>
        <w:rPr>
          <w:i/>
        </w:rPr>
        <w:t>Performer’s Rights under Copyright Law</w:t>
      </w:r>
      <w:r>
        <w:t>, iPleaders Blog.</w:t>
      </w:r>
      <w:r>
        <w:t xml:space="preserve"> </w:t>
      </w:r>
    </w:p>
  </w:footnote>
  <w:footnote w:id="16">
    <w:p w14:paraId="234942F1" w14:textId="77777777" w:rsidR="007824DE" w:rsidRDefault="004A6B8A">
      <w:pPr>
        <w:pStyle w:val="footnotedescription"/>
        <w:spacing w:after="218"/>
      </w:pPr>
      <w:r>
        <w:rPr>
          <w:rStyle w:val="footnotemark"/>
        </w:rPr>
        <w:footnoteRef/>
      </w:r>
      <w:r>
        <w:t xml:space="preserve"> Copyright Act, 1957, Section 38C(1).</w:t>
      </w:r>
      <w:r>
        <w:t xml:space="preserve"> </w:t>
      </w:r>
    </w:p>
  </w:footnote>
  <w:footnote w:id="17">
    <w:p w14:paraId="4C99D118" w14:textId="77777777" w:rsidR="007824DE" w:rsidRDefault="004A6B8A">
      <w:pPr>
        <w:pStyle w:val="footnotedescription"/>
        <w:spacing w:after="221"/>
      </w:pPr>
      <w:r>
        <w:rPr>
          <w:rStyle w:val="footnotemark"/>
        </w:rPr>
        <w:footnoteRef/>
      </w:r>
      <w:r>
        <w:t xml:space="preserve"> Ibid., Section 38C(2).</w:t>
      </w:r>
      <w:r>
        <w:t xml:space="preserve"> </w:t>
      </w:r>
    </w:p>
  </w:footnote>
  <w:footnote w:id="18">
    <w:p w14:paraId="43F772BD" w14:textId="77777777" w:rsidR="007824DE" w:rsidRDefault="004A6B8A">
      <w:pPr>
        <w:pStyle w:val="footnotedescription"/>
        <w:spacing w:after="228"/>
      </w:pPr>
      <w:r>
        <w:rPr>
          <w:rStyle w:val="footnotemark"/>
        </w:rPr>
        <w:footnoteRef/>
      </w:r>
      <w:r>
        <w:t xml:space="preserve"> Ibid., Section 38D.</w:t>
      </w:r>
      <w:r>
        <w:t xml:space="preserve"> </w:t>
      </w:r>
    </w:p>
  </w:footnote>
  <w:footnote w:id="19">
    <w:p w14:paraId="06F9A184" w14:textId="77777777" w:rsidR="007824DE" w:rsidRDefault="004A6B8A">
      <w:pPr>
        <w:pStyle w:val="footnotedescription"/>
        <w:spacing w:after="212"/>
      </w:pPr>
      <w:r>
        <w:rPr>
          <w:rStyle w:val="footnotemark"/>
        </w:rPr>
        <w:footnoteRef/>
      </w:r>
      <w:r>
        <w:t xml:space="preserve"> </w:t>
      </w:r>
      <w:r>
        <w:rPr>
          <w:i/>
        </w:rPr>
        <w:t>Performer’s Rights under Intellectual Property Rights</w:t>
      </w:r>
      <w:r>
        <w:t>, Legal Service India.</w:t>
      </w:r>
      <w:r>
        <w:t xml:space="preserve"> </w:t>
      </w:r>
    </w:p>
  </w:footnote>
  <w:footnote w:id="20">
    <w:p w14:paraId="31B60B2A" w14:textId="77777777" w:rsidR="007824DE" w:rsidRDefault="004A6B8A">
      <w:pPr>
        <w:pStyle w:val="footnotedescription"/>
        <w:spacing w:after="216"/>
      </w:pPr>
      <w:r>
        <w:rPr>
          <w:rStyle w:val="footnotemark"/>
        </w:rPr>
        <w:footnoteRef/>
      </w:r>
      <w:r>
        <w:t xml:space="preserve"> </w:t>
      </w:r>
      <w:r>
        <w:t>Copyright Act, 1957, Section 51.</w:t>
      </w:r>
      <w:r>
        <w:t xml:space="preserve"> </w:t>
      </w:r>
    </w:p>
  </w:footnote>
  <w:footnote w:id="21">
    <w:p w14:paraId="2FD7054D" w14:textId="77777777" w:rsidR="007824DE" w:rsidRDefault="004A6B8A">
      <w:pPr>
        <w:pStyle w:val="footnotedescription"/>
        <w:spacing w:after="221"/>
      </w:pPr>
      <w:r>
        <w:rPr>
          <w:rStyle w:val="footnotemark"/>
        </w:rPr>
        <w:footnoteRef/>
      </w:r>
      <w:r>
        <w:t xml:space="preserve"> Ibid., Section 38C(1).</w:t>
      </w:r>
      <w:r>
        <w:t xml:space="preserve"> </w:t>
      </w:r>
    </w:p>
  </w:footnote>
  <w:footnote w:id="22">
    <w:p w14:paraId="66F339E8" w14:textId="77777777" w:rsidR="007824DE" w:rsidRDefault="004A6B8A">
      <w:pPr>
        <w:pStyle w:val="footnotedescription"/>
        <w:spacing w:after="227"/>
      </w:pPr>
      <w:r>
        <w:rPr>
          <w:rStyle w:val="footnotemark"/>
        </w:rPr>
        <w:footnoteRef/>
      </w:r>
      <w:r>
        <w:t xml:space="preserve"> Ibid., Section 38C(2).</w:t>
      </w:r>
      <w:r>
        <w:t xml:space="preserve"> </w:t>
      </w:r>
    </w:p>
  </w:footnote>
  <w:footnote w:id="23">
    <w:p w14:paraId="1C015871" w14:textId="77777777" w:rsidR="007824DE" w:rsidRDefault="004A6B8A">
      <w:pPr>
        <w:pStyle w:val="footnotedescription"/>
        <w:spacing w:after="164"/>
      </w:pPr>
      <w:r>
        <w:rPr>
          <w:rStyle w:val="footnotemark"/>
        </w:rPr>
        <w:footnoteRef/>
      </w:r>
      <w:r>
        <w:t xml:space="preserve"> </w:t>
      </w:r>
      <w:r>
        <w:rPr>
          <w:i/>
        </w:rPr>
        <w:t>Rights of Performers and Broadcasters under Copyright Act, 1957</w:t>
      </w:r>
      <w:r>
        <w:t>, LawBhoomi.</w:t>
      </w:r>
      <w:r>
        <w:t xml:space="preserve"> </w:t>
      </w:r>
    </w:p>
    <w:p w14:paraId="7AAAB4C0" w14:textId="77777777" w:rsidR="007824DE" w:rsidRDefault="004A6B8A">
      <w:pPr>
        <w:pStyle w:val="footnotedescription"/>
        <w:spacing w:after="0"/>
      </w:pPr>
      <w:r>
        <w:rPr>
          <w:sz w:val="20"/>
        </w:rPr>
        <w:t xml:space="preserve"> </w:t>
      </w:r>
    </w:p>
  </w:footnote>
  <w:footnote w:id="24">
    <w:p w14:paraId="01E51174" w14:textId="77777777" w:rsidR="007824DE" w:rsidRDefault="004A6B8A">
      <w:pPr>
        <w:pStyle w:val="footnotedescription"/>
        <w:spacing w:after="227"/>
      </w:pPr>
      <w:r>
        <w:rPr>
          <w:rStyle w:val="footnotemark"/>
        </w:rPr>
        <w:footnoteRef/>
      </w:r>
      <w:r>
        <w:t xml:space="preserve"> Copyright Act, 1957, Section 52.</w:t>
      </w:r>
      <w:r>
        <w:t xml:space="preserve"> </w:t>
      </w:r>
    </w:p>
  </w:footnote>
  <w:footnote w:id="25">
    <w:p w14:paraId="4BDB519A" w14:textId="77777777" w:rsidR="007824DE" w:rsidRDefault="004A6B8A">
      <w:pPr>
        <w:pStyle w:val="footnotedescription"/>
        <w:spacing w:after="210"/>
      </w:pPr>
      <w:r>
        <w:rPr>
          <w:rStyle w:val="footnotemark"/>
        </w:rPr>
        <w:footnoteRef/>
      </w:r>
      <w:r>
        <w:t xml:space="preserve"> Copyright Act, 1957, Sections 55–56.</w:t>
      </w:r>
      <w:r>
        <w:t xml:space="preserve"> </w:t>
      </w:r>
    </w:p>
  </w:footnote>
  <w:footnote w:id="26">
    <w:p w14:paraId="37D65F35" w14:textId="77777777" w:rsidR="007824DE" w:rsidRDefault="004A6B8A">
      <w:pPr>
        <w:pStyle w:val="footnotedescription"/>
        <w:spacing w:after="228"/>
      </w:pPr>
      <w:r>
        <w:rPr>
          <w:rStyle w:val="footnotemark"/>
        </w:rPr>
        <w:footnoteRef/>
      </w:r>
      <w:r>
        <w:t xml:space="preserve"> Ibid., Section 63.</w:t>
      </w:r>
      <w:r>
        <w:t xml:space="preserve"> </w:t>
      </w:r>
    </w:p>
  </w:footnote>
  <w:footnote w:id="27">
    <w:p w14:paraId="360F5211" w14:textId="77777777" w:rsidR="007824DE" w:rsidRDefault="004A6B8A">
      <w:pPr>
        <w:pStyle w:val="footnotedescription"/>
        <w:spacing w:after="0"/>
      </w:pPr>
      <w:r>
        <w:rPr>
          <w:rStyle w:val="footnotemark"/>
        </w:rPr>
        <w:footnoteRef/>
      </w:r>
      <w:r>
        <w:t xml:space="preserve"> </w:t>
      </w:r>
      <w:r>
        <w:rPr>
          <w:i/>
        </w:rPr>
        <w:t>Performer’s Rights under Copyright Law</w:t>
      </w:r>
      <w:r>
        <w:t>, iPleaders Blog.</w:t>
      </w:r>
      <w:r>
        <w:t xml:space="preserve"> </w:t>
      </w:r>
    </w:p>
  </w:footnote>
  <w:footnote w:id="28">
    <w:p w14:paraId="04CC198A" w14:textId="77777777" w:rsidR="007824DE" w:rsidRDefault="004A6B8A">
      <w:pPr>
        <w:pStyle w:val="footnotedescription"/>
        <w:spacing w:after="206"/>
      </w:pPr>
      <w:r>
        <w:rPr>
          <w:rStyle w:val="footnotemark"/>
        </w:rPr>
        <w:footnoteRef/>
      </w:r>
      <w:r>
        <w:t xml:space="preserve"> </w:t>
      </w:r>
      <w:r>
        <w:rPr>
          <w:i/>
        </w:rPr>
        <w:t>Performer’s Rights under Intellectual Property Rights</w:t>
      </w:r>
      <w:r>
        <w:t>, Legal Service India.</w:t>
      </w:r>
      <w:r>
        <w:t xml:space="preserve"> </w:t>
      </w:r>
    </w:p>
  </w:footnote>
  <w:footnote w:id="29">
    <w:p w14:paraId="24FC81ED" w14:textId="77777777" w:rsidR="007824DE" w:rsidRDefault="004A6B8A">
      <w:pPr>
        <w:pStyle w:val="footnotedescription"/>
        <w:spacing w:after="236"/>
      </w:pPr>
      <w:r>
        <w:rPr>
          <w:rStyle w:val="footnotemark"/>
        </w:rPr>
        <w:footnoteRef/>
      </w:r>
      <w:r>
        <w:t xml:space="preserve"> Ibid.</w:t>
      </w:r>
      <w:r>
        <w:t xml:space="preserve"> </w:t>
      </w:r>
    </w:p>
  </w:footnote>
  <w:footnote w:id="30">
    <w:p w14:paraId="06111CD2" w14:textId="77777777" w:rsidR="007824DE" w:rsidRDefault="004A6B8A">
      <w:pPr>
        <w:pStyle w:val="footnotedescription"/>
        <w:spacing w:after="224"/>
      </w:pPr>
      <w:r>
        <w:rPr>
          <w:rStyle w:val="footnotemark"/>
        </w:rPr>
        <w:footnoteRef/>
      </w:r>
      <w:r>
        <w:t xml:space="preserve"> Copyright Act, 1957, Section 38C.</w:t>
      </w:r>
      <w:r>
        <w:t xml:space="preserve"> </w:t>
      </w:r>
    </w:p>
  </w:footnote>
  <w:footnote w:id="31">
    <w:p w14:paraId="598B4ED9" w14:textId="77777777" w:rsidR="007824DE" w:rsidRDefault="004A6B8A">
      <w:pPr>
        <w:pStyle w:val="footnotedescription"/>
        <w:spacing w:after="212"/>
      </w:pPr>
      <w:r>
        <w:rPr>
          <w:rStyle w:val="footnotemark"/>
        </w:rPr>
        <w:footnoteRef/>
      </w:r>
      <w:r>
        <w:t xml:space="preserve"> </w:t>
      </w:r>
      <w:r>
        <w:rPr>
          <w:i/>
        </w:rPr>
        <w:t>Rights of Performers and Broadcasters under Copyright Act, 1957</w:t>
      </w:r>
      <w:r>
        <w:t>, LawBhoomi.</w:t>
      </w:r>
      <w:r>
        <w:t xml:space="preserve"> </w:t>
      </w:r>
    </w:p>
  </w:footnote>
  <w:footnote w:id="32">
    <w:p w14:paraId="505CBB44" w14:textId="77777777" w:rsidR="007824DE" w:rsidRDefault="004A6B8A">
      <w:pPr>
        <w:pStyle w:val="footnotedescription"/>
        <w:spacing w:after="224"/>
      </w:pPr>
      <w:r>
        <w:rPr>
          <w:rStyle w:val="footnotemark"/>
        </w:rPr>
        <w:footnoteRef/>
      </w:r>
      <w:r>
        <w:t xml:space="preserve"> Copyright Act, 1957, Section 37.</w:t>
      </w:r>
      <w:r>
        <w:t xml:space="preserve"> </w:t>
      </w:r>
    </w:p>
  </w:footnote>
  <w:footnote w:id="33">
    <w:p w14:paraId="1088F0C7" w14:textId="77777777" w:rsidR="007824DE" w:rsidRDefault="004A6B8A">
      <w:pPr>
        <w:pStyle w:val="footnotedescription"/>
        <w:spacing w:after="0"/>
      </w:pPr>
      <w:r>
        <w:rPr>
          <w:rStyle w:val="footnotemark"/>
        </w:rPr>
        <w:footnoteRef/>
      </w:r>
      <w:r>
        <w:t xml:space="preserve"> </w:t>
      </w:r>
      <w:r>
        <w:rPr>
          <w:i/>
        </w:rPr>
        <w:t>Performer’s Rights under Copyright Law</w:t>
      </w:r>
      <w:r>
        <w:t>, iPleaders Blog.</w:t>
      </w:r>
      <w:r>
        <w:t xml:space="preserve"> </w:t>
      </w:r>
    </w:p>
  </w:footnote>
  <w:footnote w:id="34">
    <w:p w14:paraId="7089CA4C" w14:textId="77777777" w:rsidR="007824DE" w:rsidRDefault="004A6B8A">
      <w:pPr>
        <w:pStyle w:val="footnotedescription"/>
        <w:spacing w:after="144" w:line="295" w:lineRule="auto"/>
      </w:pPr>
      <w:r>
        <w:rPr>
          <w:rStyle w:val="footnotemark"/>
        </w:rPr>
        <w:footnoteRef/>
      </w:r>
      <w:r>
        <w:t xml:space="preserve"> JETIR Research Paper, </w:t>
      </w:r>
      <w:r>
        <w:rPr>
          <w:i/>
        </w:rPr>
        <w:t>Performer’s Rights</w:t>
      </w:r>
      <w:r>
        <w:t xml:space="preserve">, </w:t>
      </w:r>
      <w:hyperlink r:id="rId53">
        <w:r>
          <w:rPr>
            <w:color w:val="467886"/>
            <w:u w:val="single" w:color="467886"/>
          </w:rPr>
          <w:t>https://www.jetir.org/papers/JETIR2403852.pdf</w:t>
        </w:r>
      </w:hyperlink>
      <w:hyperlink r:id="rId54">
        <w:r>
          <w:t>.</w:t>
        </w:r>
      </w:hyperlink>
      <w:r>
        <w:t xml:space="preserve"> </w:t>
      </w:r>
    </w:p>
  </w:footnote>
  <w:footnote w:id="35">
    <w:p w14:paraId="7122B4CD" w14:textId="77777777" w:rsidR="007824DE" w:rsidRDefault="004A6B8A">
      <w:pPr>
        <w:pStyle w:val="footnotedescription"/>
        <w:spacing w:after="244"/>
      </w:pPr>
      <w:r>
        <w:rPr>
          <w:rStyle w:val="footnotemark"/>
        </w:rPr>
        <w:footnoteRef/>
      </w:r>
      <w:r>
        <w:t xml:space="preserve"> Ibid.</w:t>
      </w:r>
      <w:r>
        <w:t xml:space="preserve"> </w:t>
      </w:r>
    </w:p>
  </w:footnote>
  <w:footnote w:id="36">
    <w:p w14:paraId="5B7F0B97" w14:textId="77777777" w:rsidR="007824DE" w:rsidRDefault="004A6B8A">
      <w:pPr>
        <w:pStyle w:val="footnotedescription"/>
        <w:spacing w:after="164"/>
      </w:pPr>
      <w:r>
        <w:rPr>
          <w:rStyle w:val="footnotemark"/>
        </w:rPr>
        <w:footnoteRef/>
      </w:r>
      <w:r>
        <w:t xml:space="preserve"> </w:t>
      </w:r>
      <w:r>
        <w:rPr>
          <w:i/>
        </w:rPr>
        <w:t>Rights of Performers and Broadcasters under Copyright Act, 1957</w:t>
      </w:r>
      <w:r>
        <w:t>, LawBhoomi.</w:t>
      </w:r>
      <w:r>
        <w:t xml:space="preserve"> </w:t>
      </w:r>
    </w:p>
    <w:p w14:paraId="33EC8815" w14:textId="77777777" w:rsidR="007824DE" w:rsidRDefault="004A6B8A">
      <w:pPr>
        <w:pStyle w:val="footnotedescription"/>
        <w:spacing w:after="0"/>
      </w:pPr>
      <w:r>
        <w:rPr>
          <w:sz w:val="20"/>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539F2"/>
    <w:multiLevelType w:val="hybridMultilevel"/>
    <w:tmpl w:val="FFFFFFFF"/>
    <w:lvl w:ilvl="0" w:tplc="64987D20">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CB2975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07E7A96">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D2A823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5AEDB8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9ECF0EE">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F9201C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BDC1F3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85EA43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17B7B02"/>
    <w:multiLevelType w:val="hybridMultilevel"/>
    <w:tmpl w:val="FFFFFFFF"/>
    <w:lvl w:ilvl="0" w:tplc="A1C8F536">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80AD582">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D8ACFE6">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7A6E6B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9388EB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9BA2CD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4A2694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998F62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4AAB91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15A0A3E"/>
    <w:multiLevelType w:val="hybridMultilevel"/>
    <w:tmpl w:val="FFFFFFFF"/>
    <w:lvl w:ilvl="0" w:tplc="4588E6AC">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8BE31C4">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9B2248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BC003C4">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5F2867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F5E07F8">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756262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2623256">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3C0D7E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33F911C3"/>
    <w:multiLevelType w:val="hybridMultilevel"/>
    <w:tmpl w:val="FFFFFFFF"/>
    <w:lvl w:ilvl="0" w:tplc="3E42DE82">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FD4E9AA">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98275E0">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C94BDF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19A705E">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65C10C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AB4575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1EE681A">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3CC85C6">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38205A05"/>
    <w:multiLevelType w:val="hybridMultilevel"/>
    <w:tmpl w:val="FFFFFFFF"/>
    <w:lvl w:ilvl="0" w:tplc="663EDF22">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B48739E">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E764BA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A54162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BE48F9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3708DF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4DA3A0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B564642">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E5881C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3DB334C3"/>
    <w:multiLevelType w:val="hybridMultilevel"/>
    <w:tmpl w:val="FFFFFFFF"/>
    <w:lvl w:ilvl="0" w:tplc="CB0868F6">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708D51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BAABB2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C5CE03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DA6E1D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A18AAD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836554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58E2BC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132F4EA">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4D5F7880"/>
    <w:multiLevelType w:val="hybridMultilevel"/>
    <w:tmpl w:val="FFFFFFFF"/>
    <w:lvl w:ilvl="0" w:tplc="45846D42">
      <w:start w:val="7"/>
      <w:numFmt w:val="decimal"/>
      <w:lvlText w:val="%1"/>
      <w:lvlJc w:val="left"/>
      <w:pPr>
        <w:ind w:left="1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1" w:tplc="E918C7E8">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BD68E9E8">
      <w:start w:val="1"/>
      <w:numFmt w:val="bullet"/>
      <w:lvlText w:val="▪"/>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38C6022">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4AAFD2E">
      <w:start w:val="1"/>
      <w:numFmt w:val="bullet"/>
      <w:lvlText w:val="o"/>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378A7D6">
      <w:start w:val="1"/>
      <w:numFmt w:val="bullet"/>
      <w:lvlText w:val="▪"/>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F9C9226">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648E772">
      <w:start w:val="1"/>
      <w:numFmt w:val="bullet"/>
      <w:lvlText w:val="o"/>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112CB76">
      <w:start w:val="1"/>
      <w:numFmt w:val="bullet"/>
      <w:lvlText w:val="▪"/>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58F042B9"/>
    <w:multiLevelType w:val="hybridMultilevel"/>
    <w:tmpl w:val="FFFFFFFF"/>
    <w:lvl w:ilvl="0" w:tplc="F8929A84">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9C6B4E8">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3D04BC8">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DC67A4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C3A098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1B2124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1A23E4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8489A84">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C04DCA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5DF24F3D"/>
    <w:multiLevelType w:val="hybridMultilevel"/>
    <w:tmpl w:val="FFFFFFFF"/>
    <w:lvl w:ilvl="0" w:tplc="2DC89F34">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97CF19C">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902816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BBABBB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FFA0F5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D085AD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8FE012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E86CC4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A2CCBD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6ACA0DD9"/>
    <w:multiLevelType w:val="hybridMultilevel"/>
    <w:tmpl w:val="FFFFFFFF"/>
    <w:lvl w:ilvl="0" w:tplc="BF2C9276">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47499A8">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5A6068EA">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92C9860">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74AAE5E">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D61C822C">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1DE3042">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E648CB2">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1B06045E">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6E1F62C9"/>
    <w:multiLevelType w:val="hybridMultilevel"/>
    <w:tmpl w:val="FFFFFFFF"/>
    <w:lvl w:ilvl="0" w:tplc="047AF880">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ADEEAAC">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874ABA78">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0B2AAF02">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846838C">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1AA0878">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A58CD14">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FA032BE">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00647C28">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728A7B5B"/>
    <w:multiLevelType w:val="hybridMultilevel"/>
    <w:tmpl w:val="FFFFFFFF"/>
    <w:lvl w:ilvl="0" w:tplc="4E046086">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11E9B62">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EE6502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EE8F65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D1C3FD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7B2890E">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4664D2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990D27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D66CF6A">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16cid:durableId="1979915607">
    <w:abstractNumId w:val="0"/>
  </w:num>
  <w:num w:numId="2" w16cid:durableId="1658223789">
    <w:abstractNumId w:val="6"/>
  </w:num>
  <w:num w:numId="3" w16cid:durableId="1935279034">
    <w:abstractNumId w:val="11"/>
  </w:num>
  <w:num w:numId="4" w16cid:durableId="202182471">
    <w:abstractNumId w:val="4"/>
  </w:num>
  <w:num w:numId="5" w16cid:durableId="2049988630">
    <w:abstractNumId w:val="8"/>
  </w:num>
  <w:num w:numId="6" w16cid:durableId="1752851621">
    <w:abstractNumId w:val="5"/>
  </w:num>
  <w:num w:numId="7" w16cid:durableId="1836721339">
    <w:abstractNumId w:val="3"/>
  </w:num>
  <w:num w:numId="8" w16cid:durableId="426391037">
    <w:abstractNumId w:val="1"/>
  </w:num>
  <w:num w:numId="9" w16cid:durableId="2135754746">
    <w:abstractNumId w:val="2"/>
  </w:num>
  <w:num w:numId="10" w16cid:durableId="2092727588">
    <w:abstractNumId w:val="10"/>
  </w:num>
  <w:num w:numId="11" w16cid:durableId="201941218">
    <w:abstractNumId w:val="7"/>
  </w:num>
  <w:num w:numId="12" w16cid:durableId="8918912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revisionView w:inkAnnotation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24DE"/>
    <w:rsid w:val="004A6B8A"/>
    <w:rsid w:val="007824DE"/>
    <w:rsid w:val="00BB61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E5584D4"/>
  <w15:docId w15:val="{E1A588ED-F882-AA4B-99D2-28CC70122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1" w:lineRule="auto"/>
      <w:ind w:left="10" w:right="6" w:hanging="10"/>
      <w:jc w:val="both"/>
    </w:pPr>
    <w:rPr>
      <w:rFonts w:ascii="Times New Roman" w:eastAsia="Times New Roman" w:hAnsi="Times New Roman" w:cs="Times New Roman"/>
      <w:color w:val="000000"/>
      <w:lang w:val="en" w:eastAsia="en"/>
    </w:rPr>
  </w:style>
  <w:style w:type="paragraph" w:styleId="Heading1">
    <w:name w:val="heading 1"/>
    <w:next w:val="Normal"/>
    <w:link w:val="Heading1Char"/>
    <w:uiPriority w:val="9"/>
    <w:qFormat/>
    <w:pPr>
      <w:keepNext/>
      <w:keepLines/>
      <w:spacing w:after="145" w:line="259" w:lineRule="auto"/>
      <w:ind w:left="10" w:hanging="10"/>
      <w:outlineLvl w:val="0"/>
    </w:pPr>
    <w:rPr>
      <w:rFonts w:ascii="Times New Roman" w:eastAsia="Times New Roman" w:hAnsi="Times New Roman" w:cs="Times New Roman"/>
      <w:b/>
      <w:color w:val="000000"/>
      <w:sz w:val="28"/>
    </w:rPr>
  </w:style>
  <w:style w:type="paragraph" w:styleId="Heading2">
    <w:name w:val="heading 2"/>
    <w:next w:val="Normal"/>
    <w:link w:val="Heading2Char"/>
    <w:uiPriority w:val="9"/>
    <w:unhideWhenUsed/>
    <w:qFormat/>
    <w:pPr>
      <w:keepNext/>
      <w:keepLines/>
      <w:spacing w:after="182" w:line="259" w:lineRule="auto"/>
      <w:ind w:left="10" w:hanging="10"/>
      <w:outlineLvl w:val="1"/>
    </w:pPr>
    <w:rPr>
      <w:rFonts w:ascii="Times New Roman" w:eastAsia="Times New Roman" w:hAnsi="Times New Roman" w:cs="Times New Roman"/>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215" w:line="259" w:lineRule="auto"/>
    </w:pPr>
    <w:rPr>
      <w:rFonts w:ascii="Times New Roman" w:eastAsia="Times New Roman" w:hAnsi="Times New Roman" w:cs="Times New Roman"/>
      <w:color w:val="000000"/>
    </w:rPr>
  </w:style>
  <w:style w:type="character" w:customStyle="1" w:styleId="footnotedescriptionChar">
    <w:name w:val="footnote description Char"/>
    <w:link w:val="footnotedescription"/>
    <w:rPr>
      <w:rFonts w:ascii="Times New Roman" w:eastAsia="Times New Roman" w:hAnsi="Times New Roman" w:cs="Times New Roman"/>
      <w:color w:val="000000"/>
      <w:sz w:val="24"/>
    </w:rPr>
  </w:style>
  <w:style w:type="character" w:customStyle="1" w:styleId="Heading2Char">
    <w:name w:val="Heading 2 Char"/>
    <w:link w:val="Heading2"/>
    <w:rPr>
      <w:rFonts w:ascii="Times New Roman" w:eastAsia="Times New Roman" w:hAnsi="Times New Roman" w:cs="Times New Roman"/>
      <w:b/>
      <w:color w:val="000000"/>
      <w:sz w:val="24"/>
    </w:rPr>
  </w:style>
  <w:style w:type="character" w:customStyle="1" w:styleId="Heading1Char">
    <w:name w:val="Heading 1 Char"/>
    <w:link w:val="Heading1"/>
    <w:rPr>
      <w:rFonts w:ascii="Times New Roman" w:eastAsia="Times New Roman" w:hAnsi="Times New Roman" w:cs="Times New Roman"/>
      <w:b/>
      <w:color w:val="000000"/>
      <w:sz w:val="28"/>
    </w:rPr>
  </w:style>
  <w:style w:type="character" w:customStyle="1" w:styleId="footnotemark">
    <w:name w:val="footnote mark"/>
    <w:hidden/>
    <w:rPr>
      <w:rFonts w:ascii="Times New Roman" w:eastAsia="Times New Roman" w:hAnsi="Times New Roman" w:cs="Times New Roman"/>
      <w:color w:val="000000"/>
      <w:sz w:val="24"/>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www.legalserviceindia.com/legal/article-10492-performer-s-rights-under-intellectual-property-rights.html?utm_source=chatgpt.com" TargetMode="External" /><Relationship Id="rId18" Type="http://schemas.openxmlformats.org/officeDocument/2006/relationships/hyperlink" Target="https://www.legalserviceindia.com/legal/article-10492-performer-s-rights-under-intellectual-property-rights.html?utm_source=chatgpt.com" TargetMode="External" /><Relationship Id="rId26" Type="http://schemas.openxmlformats.org/officeDocument/2006/relationships/hyperlink" Target="https://blog.ipleaders.in/performers-rights-under-copyright-law/?utm_source=chatgpt.com" TargetMode="External" /><Relationship Id="rId39" Type="http://schemas.openxmlformats.org/officeDocument/2006/relationships/hyperlink" Target="https://lawbhoomi.com/rights-of-performers-and-broadcasters-rights-under-copyright-act-1957/?utm_source=chatgpt.com" TargetMode="External" /><Relationship Id="rId21" Type="http://schemas.openxmlformats.org/officeDocument/2006/relationships/hyperlink" Target="https://www.legalserviceindia.com/legal/article-10492-performer-s-rights-under-intellectual-property-rights.html?utm_source=chatgpt.com" TargetMode="External" /><Relationship Id="rId34" Type="http://schemas.openxmlformats.org/officeDocument/2006/relationships/hyperlink" Target="https://blog.ipleaders.in/performers-rights-under-copyright-law/?utm_source=chatgpt.com" TargetMode="External" /><Relationship Id="rId42" Type="http://schemas.openxmlformats.org/officeDocument/2006/relationships/hyperlink" Target="https://lawbhoomi.com/rights-of-performers-and-broadcasters-rights-under-copyright-act-1957/?utm_source=chatgpt.com" TargetMode="External" /><Relationship Id="rId47" Type="http://schemas.openxmlformats.org/officeDocument/2006/relationships/hyperlink" Target="https://lawbhoomi.com/rights-of-performers-and-broadcasters-rights-under-copyright-act-1957/?utm_source=chatgpt.com" TargetMode="External" /><Relationship Id="rId50" Type="http://schemas.openxmlformats.org/officeDocument/2006/relationships/hyperlink" Target="https://lawbhoomi.com/rights-of-performers-and-broadcasters-rights-under-copyright-act-1957/?utm_source=chatgpt.com" TargetMode="External" /><Relationship Id="rId55" Type="http://schemas.openxmlformats.org/officeDocument/2006/relationships/hyperlink" Target="https://www.jetir.org/papers/JETIR2403852.pdf" TargetMode="External" /><Relationship Id="rId7" Type="http://schemas.openxmlformats.org/officeDocument/2006/relationships/hyperlink" Target="https://www.legalserviceindia.com/legal/article-10492-performer-s-rights-under-intellectual-property-rights.html?utm_source=chatgpt.com" TargetMode="External" /><Relationship Id="rId12" Type="http://schemas.openxmlformats.org/officeDocument/2006/relationships/hyperlink" Target="https://www.legalserviceindia.com/legal/article-10492-performer-s-rights-under-intellectual-property-rights.html?utm_source=chatgpt.com" TargetMode="External" /><Relationship Id="rId17" Type="http://schemas.openxmlformats.org/officeDocument/2006/relationships/hyperlink" Target="https://www.legalserviceindia.com/legal/article-10492-performer-s-rights-under-intellectual-property-rights.html?utm_source=chatgpt.com" TargetMode="External" /><Relationship Id="rId25" Type="http://schemas.openxmlformats.org/officeDocument/2006/relationships/hyperlink" Target="https://blog.ipleaders.in/performers-rights-under-copyright-law/?utm_source=chatgpt.com" TargetMode="External" /><Relationship Id="rId33" Type="http://schemas.openxmlformats.org/officeDocument/2006/relationships/hyperlink" Target="https://blog.ipleaders.in/performers-rights-under-copyright-law/?utm_source=chatgpt.com" TargetMode="External" /><Relationship Id="rId38" Type="http://schemas.openxmlformats.org/officeDocument/2006/relationships/hyperlink" Target="https://lawbhoomi.com/rights-of-performers-and-broadcasters-rights-under-copyright-act-1957/?utm_source=chatgpt.com" TargetMode="External" /><Relationship Id="rId46" Type="http://schemas.openxmlformats.org/officeDocument/2006/relationships/hyperlink" Target="https://lawbhoomi.com/rights-of-performers-and-broadcasters-rights-under-copyright-act-1957/?utm_source=chatgpt.com" TargetMode="External" /><Relationship Id="rId2" Type="http://schemas.openxmlformats.org/officeDocument/2006/relationships/styles" Target="styles.xml" /><Relationship Id="rId16" Type="http://schemas.openxmlformats.org/officeDocument/2006/relationships/hyperlink" Target="https://www.legalserviceindia.com/legal/article-10492-performer-s-rights-under-intellectual-property-rights.html?utm_source=chatgpt.com" TargetMode="External" /><Relationship Id="rId20" Type="http://schemas.openxmlformats.org/officeDocument/2006/relationships/hyperlink" Target="https://www.legalserviceindia.com/legal/article-10492-performer-s-rights-under-intellectual-property-rights.html?utm_source=chatgpt.com" TargetMode="External" /><Relationship Id="rId29" Type="http://schemas.openxmlformats.org/officeDocument/2006/relationships/hyperlink" Target="https://blog.ipleaders.in/performers-rights-under-copyright-law/?utm_source=chatgpt.com" TargetMode="External" /><Relationship Id="rId41" Type="http://schemas.openxmlformats.org/officeDocument/2006/relationships/hyperlink" Target="https://lawbhoomi.com/rights-of-performers-and-broadcasters-rights-under-copyright-act-1957/?utm_source=chatgpt.com" TargetMode="External" /><Relationship Id="rId54" Type="http://schemas.openxmlformats.org/officeDocument/2006/relationships/hyperlink" Target="https://lawbhoomi.com/rights-of-performers-and-broadcasters-rights-under-copyright-act-1957/?utm_source=chatgpt.com" TargetMode="Externa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hyperlink" Target="https://www.legalserviceindia.com/legal/article-10492-performer-s-rights-under-intellectual-property-rights.html?utm_source=chatgpt.com" TargetMode="External" /><Relationship Id="rId24" Type="http://schemas.openxmlformats.org/officeDocument/2006/relationships/hyperlink" Target="https://www.legalserviceindia.com/legal/article-10492-performer-s-rights-under-intellectual-property-rights.html?utm_source=chatgpt.com" TargetMode="External" /><Relationship Id="rId32" Type="http://schemas.openxmlformats.org/officeDocument/2006/relationships/hyperlink" Target="https://blog.ipleaders.in/performers-rights-under-copyright-law/?utm_source=chatgpt.com" TargetMode="External" /><Relationship Id="rId37" Type="http://schemas.openxmlformats.org/officeDocument/2006/relationships/hyperlink" Target="https://lawbhoomi.com/rights-of-performers-and-broadcasters-rights-under-copyright-act-1957/?utm_source=chatgpt.com" TargetMode="External" /><Relationship Id="rId40" Type="http://schemas.openxmlformats.org/officeDocument/2006/relationships/hyperlink" Target="https://lawbhoomi.com/rights-of-performers-and-broadcasters-rights-under-copyright-act-1957/?utm_source=chatgpt.com" TargetMode="External" /><Relationship Id="rId45" Type="http://schemas.openxmlformats.org/officeDocument/2006/relationships/hyperlink" Target="https://lawbhoomi.com/rights-of-performers-and-broadcasters-rights-under-copyright-act-1957/?utm_source=chatgpt.com" TargetMode="External" /><Relationship Id="rId53" Type="http://schemas.openxmlformats.org/officeDocument/2006/relationships/hyperlink" Target="https://lawbhoomi.com/rights-of-performers-and-broadcasters-rights-under-copyright-act-1957/?utm_source=chatgpt.com" TargetMode="External" /><Relationship Id="rId58" Type="http://schemas.openxmlformats.org/officeDocument/2006/relationships/theme" Target="theme/theme1.xml" /><Relationship Id="rId5" Type="http://schemas.openxmlformats.org/officeDocument/2006/relationships/footnotes" Target="footnotes.xml" /><Relationship Id="rId15" Type="http://schemas.openxmlformats.org/officeDocument/2006/relationships/hyperlink" Target="https://www.legalserviceindia.com/legal/article-10492-performer-s-rights-under-intellectual-property-rights.html?utm_source=chatgpt.com" TargetMode="External" /><Relationship Id="rId23" Type="http://schemas.openxmlformats.org/officeDocument/2006/relationships/hyperlink" Target="https://www.legalserviceindia.com/legal/article-10492-performer-s-rights-under-intellectual-property-rights.html?utm_source=chatgpt.com" TargetMode="External" /><Relationship Id="rId28" Type="http://schemas.openxmlformats.org/officeDocument/2006/relationships/hyperlink" Target="https://blog.ipleaders.in/performers-rights-under-copyright-law/?utm_source=chatgpt.com" TargetMode="External" /><Relationship Id="rId36" Type="http://schemas.openxmlformats.org/officeDocument/2006/relationships/hyperlink" Target="https://lawbhoomi.com/rights-of-performers-and-broadcasters-rights-under-copyright-act-1957/?utm_source=chatgpt.com" TargetMode="External" /><Relationship Id="rId49" Type="http://schemas.openxmlformats.org/officeDocument/2006/relationships/hyperlink" Target="https://lawbhoomi.com/rights-of-performers-and-broadcasters-rights-under-copyright-act-1957/?utm_source=chatgpt.com" TargetMode="External" /><Relationship Id="rId57" Type="http://schemas.openxmlformats.org/officeDocument/2006/relationships/fontTable" Target="fontTable.xml" /><Relationship Id="rId10" Type="http://schemas.openxmlformats.org/officeDocument/2006/relationships/hyperlink" Target="https://www.legalserviceindia.com/legal/article-10492-performer-s-rights-under-intellectual-property-rights.html?utm_source=chatgpt.com" TargetMode="External" /><Relationship Id="rId19" Type="http://schemas.openxmlformats.org/officeDocument/2006/relationships/hyperlink" Target="https://www.legalserviceindia.com/legal/article-10492-performer-s-rights-under-intellectual-property-rights.html?utm_source=chatgpt.com" TargetMode="External" /><Relationship Id="rId31" Type="http://schemas.openxmlformats.org/officeDocument/2006/relationships/hyperlink" Target="https://blog.ipleaders.in/performers-rights-under-copyright-law/?utm_source=chatgpt.com" TargetMode="External" /><Relationship Id="rId44" Type="http://schemas.openxmlformats.org/officeDocument/2006/relationships/hyperlink" Target="https://lawbhoomi.com/rights-of-performers-and-broadcasters-rights-under-copyright-act-1957/?utm_source=chatgpt.com" TargetMode="External" /><Relationship Id="rId52" Type="http://schemas.openxmlformats.org/officeDocument/2006/relationships/hyperlink" Target="https://lawbhoomi.com/rights-of-performers-and-broadcasters-rights-under-copyright-act-1957/?utm_source=chatgpt.com" TargetMode="External" /><Relationship Id="rId4" Type="http://schemas.openxmlformats.org/officeDocument/2006/relationships/webSettings" Target="webSettings.xml" /><Relationship Id="rId9" Type="http://schemas.openxmlformats.org/officeDocument/2006/relationships/hyperlink" Target="https://www.legalserviceindia.com/legal/article-10492-performer-s-rights-under-intellectual-property-rights.html?utm_source=chatgpt.com" TargetMode="External" /><Relationship Id="rId14" Type="http://schemas.openxmlformats.org/officeDocument/2006/relationships/hyperlink" Target="https://www.legalserviceindia.com/legal/article-10492-performer-s-rights-under-intellectual-property-rights.html?utm_source=chatgpt.com" TargetMode="External" /><Relationship Id="rId22" Type="http://schemas.openxmlformats.org/officeDocument/2006/relationships/hyperlink" Target="https://www.legalserviceindia.com/legal/article-10492-performer-s-rights-under-intellectual-property-rights.html?utm_source=chatgpt.com" TargetMode="External" /><Relationship Id="rId27" Type="http://schemas.openxmlformats.org/officeDocument/2006/relationships/hyperlink" Target="https://blog.ipleaders.in/performers-rights-under-copyright-law/?utm_source=chatgpt.com" TargetMode="External" /><Relationship Id="rId30" Type="http://schemas.openxmlformats.org/officeDocument/2006/relationships/hyperlink" Target="https://blog.ipleaders.in/performers-rights-under-copyright-law/?utm_source=chatgpt.com" TargetMode="External" /><Relationship Id="rId35" Type="http://schemas.openxmlformats.org/officeDocument/2006/relationships/hyperlink" Target="https://lawbhoomi.com/rights-of-performers-and-broadcasters-rights-under-copyright-act-1957/?utm_source=chatgpt.com" TargetMode="External" /><Relationship Id="rId43" Type="http://schemas.openxmlformats.org/officeDocument/2006/relationships/hyperlink" Target="https://lawbhoomi.com/rights-of-performers-and-broadcasters-rights-under-copyright-act-1957/?utm_source=chatgpt.com" TargetMode="External" /><Relationship Id="rId48" Type="http://schemas.openxmlformats.org/officeDocument/2006/relationships/hyperlink" Target="https://lawbhoomi.com/rights-of-performers-and-broadcasters-rights-under-copyright-act-1957/?utm_source=chatgpt.com" TargetMode="External" /><Relationship Id="rId56" Type="http://schemas.openxmlformats.org/officeDocument/2006/relationships/hyperlink" Target="https://www.jetir.org/papers/JETIR2403852.pdf" TargetMode="External" /><Relationship Id="rId8" Type="http://schemas.openxmlformats.org/officeDocument/2006/relationships/hyperlink" Target="https://www.legalserviceindia.com/legal/article-10492-performer-s-rights-under-intellectual-property-rights.html?utm_source=chatgpt.com" TargetMode="External" /><Relationship Id="rId51" Type="http://schemas.openxmlformats.org/officeDocument/2006/relationships/hyperlink" Target="https://lawbhoomi.com/rights-of-performers-and-broadcasters-rights-under-copyright-act-1957/?utm_source=chatgpt.com" TargetMode="External" /><Relationship Id="rId3" Type="http://schemas.openxmlformats.org/officeDocument/2006/relationships/settings" Target="settings.xml" /></Relationships>
</file>

<file path=word/_rels/footnotes.xml.rels><?xml version="1.0" encoding="UTF-8" standalone="yes"?>
<Relationships xmlns="http://schemas.openxmlformats.org/package/2006/relationships"><Relationship Id="rId13" Type="http://schemas.openxmlformats.org/officeDocument/2006/relationships/hyperlink" Target="https://lawbhoomi.com/rights-of-performers-and-broadcasters-rights-under-copyright-act-1957/?utm_source=chatgpt.com" TargetMode="External" /><Relationship Id="rId18" Type="http://schemas.openxmlformats.org/officeDocument/2006/relationships/hyperlink" Target="https://lawbhoomi.com/rights-of-performers-and-broadcasters-rights-under-copyright-act-1957/?utm_source=chatgpt.com" TargetMode="External" /><Relationship Id="rId26" Type="http://schemas.openxmlformats.org/officeDocument/2006/relationships/hyperlink" Target="https://lawbhoomi.com/rights-of-performers-and-broadcasters-rights-under-copyright-act-1957/?utm_source=chatgpt.com" TargetMode="External" /><Relationship Id="rId39" Type="http://schemas.openxmlformats.org/officeDocument/2006/relationships/hyperlink" Target="https://www.legalserviceindia.com/legal/article-10492-performer-s-rights-under-intellectual-property-rights.html?utm_source=chatgpt.com" TargetMode="External" /><Relationship Id="rId3" Type="http://schemas.openxmlformats.org/officeDocument/2006/relationships/hyperlink" Target="https://blog.ipleaders.in/performers-rights-under-copyright-law/?utm_source=chatgpt.com" TargetMode="External" /><Relationship Id="rId21" Type="http://schemas.openxmlformats.org/officeDocument/2006/relationships/hyperlink" Target="https://lawbhoomi.com/rights-of-performers-and-broadcasters-rights-under-copyright-act-1957/?utm_source=chatgpt.com" TargetMode="External" /><Relationship Id="rId34" Type="http://schemas.openxmlformats.org/officeDocument/2006/relationships/hyperlink" Target="https://www.legalserviceindia.com/legal/article-10492-performer-s-rights-under-intellectual-property-rights.html?utm_source=chatgpt.com" TargetMode="External" /><Relationship Id="rId42" Type="http://schemas.openxmlformats.org/officeDocument/2006/relationships/hyperlink" Target="https://www.legalserviceindia.com/legal/article-10492-performer-s-rights-under-intellectual-property-rights.html?utm_source=chatgpt.com" TargetMode="External" /><Relationship Id="rId47" Type="http://schemas.openxmlformats.org/officeDocument/2006/relationships/hyperlink" Target="https://www.legalserviceindia.com/legal/article-10492-performer-s-rights-under-intellectual-property-rights.html?utm_source=chatgpt.com" TargetMode="External" /><Relationship Id="rId50" Type="http://schemas.openxmlformats.org/officeDocument/2006/relationships/hyperlink" Target="https://www.legalserviceindia.com/legal/article-10492-performer-s-rights-under-intellectual-property-rights.html?utm_source=chatgpt.com" TargetMode="External" /><Relationship Id="rId7" Type="http://schemas.openxmlformats.org/officeDocument/2006/relationships/hyperlink" Target="https://blog.ipleaders.in/performers-rights-under-copyright-law/?utm_source=chatgpt.com" TargetMode="External" /><Relationship Id="rId12" Type="http://schemas.openxmlformats.org/officeDocument/2006/relationships/hyperlink" Target="https://lawbhoomi.com/rights-of-performers-and-broadcasters-rights-under-copyright-act-1957/?utm_source=chatgpt.com" TargetMode="External" /><Relationship Id="rId17" Type="http://schemas.openxmlformats.org/officeDocument/2006/relationships/hyperlink" Target="https://lawbhoomi.com/rights-of-performers-and-broadcasters-rights-under-copyright-act-1957/?utm_source=chatgpt.com" TargetMode="External" /><Relationship Id="rId25" Type="http://schemas.openxmlformats.org/officeDocument/2006/relationships/hyperlink" Target="https://lawbhoomi.com/rights-of-performers-and-broadcasters-rights-under-copyright-act-1957/?utm_source=chatgpt.com" TargetMode="External" /><Relationship Id="rId33" Type="http://schemas.openxmlformats.org/officeDocument/2006/relationships/hyperlink" Target="https://www.legalserviceindia.com/legal/article-10492-performer-s-rights-under-intellectual-property-rights.html?utm_source=chatgpt.com" TargetMode="External" /><Relationship Id="rId38" Type="http://schemas.openxmlformats.org/officeDocument/2006/relationships/hyperlink" Target="https://www.legalserviceindia.com/legal/article-10492-performer-s-rights-under-intellectual-property-rights.html?utm_source=chatgpt.com" TargetMode="External" /><Relationship Id="rId46" Type="http://schemas.openxmlformats.org/officeDocument/2006/relationships/hyperlink" Target="https://www.legalserviceindia.com/legal/article-10492-performer-s-rights-under-intellectual-property-rights.html?utm_source=chatgpt.com" TargetMode="External" /><Relationship Id="rId2" Type="http://schemas.openxmlformats.org/officeDocument/2006/relationships/hyperlink" Target="https://blog.ipleaders.in/performers-rights-under-copyright-law/?utm_source=chatgpt.com" TargetMode="External" /><Relationship Id="rId16" Type="http://schemas.openxmlformats.org/officeDocument/2006/relationships/hyperlink" Target="https://lawbhoomi.com/rights-of-performers-and-broadcasters-rights-under-copyright-act-1957/?utm_source=chatgpt.com" TargetMode="External" /><Relationship Id="rId20" Type="http://schemas.openxmlformats.org/officeDocument/2006/relationships/hyperlink" Target="https://lawbhoomi.com/rights-of-performers-and-broadcasters-rights-under-copyright-act-1957/?utm_source=chatgpt.com" TargetMode="External" /><Relationship Id="rId29" Type="http://schemas.openxmlformats.org/officeDocument/2006/relationships/hyperlink" Target="https://lawbhoomi.com/rights-of-performers-and-broadcasters-rights-under-copyright-act-1957/?utm_source=chatgpt.com" TargetMode="External" /><Relationship Id="rId41" Type="http://schemas.openxmlformats.org/officeDocument/2006/relationships/hyperlink" Target="https://www.legalserviceindia.com/legal/article-10492-performer-s-rights-under-intellectual-property-rights.html?utm_source=chatgpt.com" TargetMode="External" /><Relationship Id="rId54" Type="http://schemas.openxmlformats.org/officeDocument/2006/relationships/hyperlink" Target="https://www.jetir.org/papers/JETIR2403852.pdf?utm_source=chatgpt.com" TargetMode="External" /><Relationship Id="rId1" Type="http://schemas.openxmlformats.org/officeDocument/2006/relationships/hyperlink" Target="https://blog.ipleaders.in/performers-rights-under-copyright-law/?utm_source=chatgpt.com" TargetMode="External" /><Relationship Id="rId6" Type="http://schemas.openxmlformats.org/officeDocument/2006/relationships/hyperlink" Target="https://blog.ipleaders.in/performers-rights-under-copyright-law/?utm_source=chatgpt.com" TargetMode="External" /><Relationship Id="rId11" Type="http://schemas.openxmlformats.org/officeDocument/2006/relationships/hyperlink" Target="https://lawbhoomi.com/rights-of-performers-and-broadcasters-rights-under-copyright-act-1957/?utm_source=chatgpt.com" TargetMode="External" /><Relationship Id="rId24" Type="http://schemas.openxmlformats.org/officeDocument/2006/relationships/hyperlink" Target="https://lawbhoomi.com/rights-of-performers-and-broadcasters-rights-under-copyright-act-1957/?utm_source=chatgpt.com" TargetMode="External" /><Relationship Id="rId32" Type="http://schemas.openxmlformats.org/officeDocument/2006/relationships/hyperlink" Target="https://www.jetir.org/papers/JETIR2403852.pdf?utm_source=chatgpt.com" TargetMode="External" /><Relationship Id="rId37" Type="http://schemas.openxmlformats.org/officeDocument/2006/relationships/hyperlink" Target="https://www.legalserviceindia.com/legal/article-10492-performer-s-rights-under-intellectual-property-rights.html?utm_source=chatgpt.com" TargetMode="External" /><Relationship Id="rId40" Type="http://schemas.openxmlformats.org/officeDocument/2006/relationships/hyperlink" Target="https://www.legalserviceindia.com/legal/article-10492-performer-s-rights-under-intellectual-property-rights.html?utm_source=chatgpt.com" TargetMode="External" /><Relationship Id="rId45" Type="http://schemas.openxmlformats.org/officeDocument/2006/relationships/hyperlink" Target="https://www.legalserviceindia.com/legal/article-10492-performer-s-rights-under-intellectual-property-rights.html?utm_source=chatgpt.com" TargetMode="External" /><Relationship Id="rId53" Type="http://schemas.openxmlformats.org/officeDocument/2006/relationships/hyperlink" Target="https://www.jetir.org/papers/JETIR2403852.pdf?utm_source=chatgpt.com" TargetMode="External" /><Relationship Id="rId5" Type="http://schemas.openxmlformats.org/officeDocument/2006/relationships/hyperlink" Target="https://blog.ipleaders.in/performers-rights-under-copyright-law/?utm_source=chatgpt.com" TargetMode="External" /><Relationship Id="rId15" Type="http://schemas.openxmlformats.org/officeDocument/2006/relationships/hyperlink" Target="https://lawbhoomi.com/rights-of-performers-and-broadcasters-rights-under-copyright-act-1957/?utm_source=chatgpt.com" TargetMode="External" /><Relationship Id="rId23" Type="http://schemas.openxmlformats.org/officeDocument/2006/relationships/hyperlink" Target="https://lawbhoomi.com/rights-of-performers-and-broadcasters-rights-under-copyright-act-1957/?utm_source=chatgpt.com" TargetMode="External" /><Relationship Id="rId28" Type="http://schemas.openxmlformats.org/officeDocument/2006/relationships/hyperlink" Target="https://lawbhoomi.com/rights-of-performers-and-broadcasters-rights-under-copyright-act-1957/?utm_source=chatgpt.com" TargetMode="External" /><Relationship Id="rId36" Type="http://schemas.openxmlformats.org/officeDocument/2006/relationships/hyperlink" Target="https://www.legalserviceindia.com/legal/article-10492-performer-s-rights-under-intellectual-property-rights.html?utm_source=chatgpt.com" TargetMode="External" /><Relationship Id="rId49" Type="http://schemas.openxmlformats.org/officeDocument/2006/relationships/hyperlink" Target="https://www.legalserviceindia.com/legal/article-10492-performer-s-rights-under-intellectual-property-rights.html?utm_source=chatgpt.com" TargetMode="External" /><Relationship Id="rId10" Type="http://schemas.openxmlformats.org/officeDocument/2006/relationships/hyperlink" Target="https://blog.ipleaders.in/performers-rights-under-copyright-law/?utm_source=chatgpt.com" TargetMode="External" /><Relationship Id="rId19" Type="http://schemas.openxmlformats.org/officeDocument/2006/relationships/hyperlink" Target="https://lawbhoomi.com/rights-of-performers-and-broadcasters-rights-under-copyright-act-1957/?utm_source=chatgpt.com" TargetMode="External" /><Relationship Id="rId31" Type="http://schemas.openxmlformats.org/officeDocument/2006/relationships/hyperlink" Target="https://www.jetir.org/papers/JETIR2403852.pdf?utm_source=chatgpt.com" TargetMode="External" /><Relationship Id="rId44" Type="http://schemas.openxmlformats.org/officeDocument/2006/relationships/hyperlink" Target="https://www.legalserviceindia.com/legal/article-10492-performer-s-rights-under-intellectual-property-rights.html?utm_source=chatgpt.com" TargetMode="External" /><Relationship Id="rId52" Type="http://schemas.openxmlformats.org/officeDocument/2006/relationships/hyperlink" Target="https://www.jetir.org/papers/JETIR2403852.pdf?utm_source=chatgpt.com" TargetMode="External" /><Relationship Id="rId4" Type="http://schemas.openxmlformats.org/officeDocument/2006/relationships/hyperlink" Target="https://blog.ipleaders.in/performers-rights-under-copyright-law/?utm_source=chatgpt.com" TargetMode="External" /><Relationship Id="rId9" Type="http://schemas.openxmlformats.org/officeDocument/2006/relationships/hyperlink" Target="https://blog.ipleaders.in/performers-rights-under-copyright-law/?utm_source=chatgpt.com" TargetMode="External" /><Relationship Id="rId14" Type="http://schemas.openxmlformats.org/officeDocument/2006/relationships/hyperlink" Target="https://lawbhoomi.com/rights-of-performers-and-broadcasters-rights-under-copyright-act-1957/?utm_source=chatgpt.com" TargetMode="External" /><Relationship Id="rId22" Type="http://schemas.openxmlformats.org/officeDocument/2006/relationships/hyperlink" Target="https://lawbhoomi.com/rights-of-performers-and-broadcasters-rights-under-copyright-act-1957/?utm_source=chatgpt.com" TargetMode="External" /><Relationship Id="rId27" Type="http://schemas.openxmlformats.org/officeDocument/2006/relationships/hyperlink" Target="https://lawbhoomi.com/rights-of-performers-and-broadcasters-rights-under-copyright-act-1957/?utm_source=chatgpt.com" TargetMode="External" /><Relationship Id="rId30" Type="http://schemas.openxmlformats.org/officeDocument/2006/relationships/hyperlink" Target="https://lawbhoomi.com/rights-of-performers-and-broadcasters-rights-under-copyright-act-1957/?utm_source=chatgpt.com" TargetMode="External" /><Relationship Id="rId35" Type="http://schemas.openxmlformats.org/officeDocument/2006/relationships/hyperlink" Target="https://www.legalserviceindia.com/legal/article-10492-performer-s-rights-under-intellectual-property-rights.html?utm_source=chatgpt.com" TargetMode="External" /><Relationship Id="rId43" Type="http://schemas.openxmlformats.org/officeDocument/2006/relationships/hyperlink" Target="https://www.legalserviceindia.com/legal/article-10492-performer-s-rights-under-intellectual-property-rights.html?utm_source=chatgpt.com" TargetMode="External" /><Relationship Id="rId48" Type="http://schemas.openxmlformats.org/officeDocument/2006/relationships/hyperlink" Target="https://www.legalserviceindia.com/legal/article-10492-performer-s-rights-under-intellectual-property-rights.html?utm_source=chatgpt.com" TargetMode="External" /><Relationship Id="rId8" Type="http://schemas.openxmlformats.org/officeDocument/2006/relationships/hyperlink" Target="https://blog.ipleaders.in/performers-rights-under-copyright-law/?utm_source=chatgpt.com" TargetMode="External" /><Relationship Id="rId51" Type="http://schemas.openxmlformats.org/officeDocument/2006/relationships/hyperlink" Target="https://www.jetir.org/papers/JETIR2403852.pdf?utm_source=chatgpt.com"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3111</Words>
  <Characters>17739</Characters>
  <Application>Microsoft Office Word</Application>
  <DocSecurity>0</DocSecurity>
  <Lines>147</Lines>
  <Paragraphs>41</Paragraphs>
  <ScaleCrop>false</ScaleCrop>
  <Company/>
  <LinksUpToDate>false</LinksUpToDate>
  <CharactersWithSpaces>20809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Deepika Verma</dc:creator>
  <cp:keywords/>
  <cp:lastModifiedBy>Riday Mukherjee</cp:lastModifiedBy>
  <cp:revision>2</cp:revision>
  <dcterms:created xsi:type="dcterms:W3CDTF">2025-12-04T12:59:00Z</dcterms:created>
  <dcterms:modified xsi:type="dcterms:W3CDTF">2025-12-04T12:59:00Z</dcterms:modified>
</cp:coreProperties>
</file>